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F3" w:rsidRPr="00A42999" w:rsidRDefault="00147CF3" w:rsidP="00147CF3">
      <w:pPr>
        <w:autoSpaceDE w:val="0"/>
        <w:autoSpaceDN w:val="0"/>
        <w:adjustRightInd w:val="0"/>
        <w:ind w:right="-143"/>
        <w:outlineLvl w:val="0"/>
        <w:rPr>
          <w:rFonts w:cs="Arial"/>
          <w:b/>
        </w:rPr>
      </w:pPr>
      <w:r w:rsidRPr="00A42999">
        <w:rPr>
          <w:rFonts w:cs="Arial"/>
          <w:b/>
        </w:rPr>
        <w:t>MI</w:t>
      </w:r>
      <w:r>
        <w:rPr>
          <w:rFonts w:cs="Arial"/>
          <w:b/>
        </w:rPr>
        <w:t>NERAL AND PETROLEUM INDUSTRY 20</w:t>
      </w:r>
      <w:r w:rsidRPr="00A42999">
        <w:rPr>
          <w:rFonts w:cs="Arial"/>
          <w:b/>
        </w:rPr>
        <w:t>14 REVIEW</w:t>
      </w:r>
    </w:p>
    <w:p w:rsidR="00147CF3" w:rsidRPr="00A42999" w:rsidRDefault="00147CF3" w:rsidP="00147CF3">
      <w:pPr>
        <w:shd w:val="clear" w:color="auto" w:fill="FFFFFF"/>
      </w:pPr>
    </w:p>
    <w:p w:rsidR="00147CF3" w:rsidRPr="0031285B" w:rsidRDefault="00147CF3" w:rsidP="00147CF3">
      <w:pPr>
        <w:autoSpaceDE w:val="0"/>
        <w:autoSpaceDN w:val="0"/>
        <w:adjustRightInd w:val="0"/>
        <w:spacing w:after="120"/>
        <w:ind w:right="-143"/>
        <w:outlineLvl w:val="0"/>
        <w:rPr>
          <w:rFonts w:cs="Arial"/>
        </w:rPr>
      </w:pPr>
      <w:r w:rsidRPr="00E41B01">
        <w:rPr>
          <w:rFonts w:cs="Arial"/>
        </w:rPr>
        <w:t>The value of Western Australia’s mineral</w:t>
      </w:r>
      <w:r>
        <w:rPr>
          <w:rFonts w:cs="Arial"/>
        </w:rPr>
        <w:t xml:space="preserve"> and petroleum industry in 20</w:t>
      </w:r>
      <w:r w:rsidRPr="00E41B01">
        <w:rPr>
          <w:rFonts w:cs="Arial"/>
        </w:rPr>
        <w:t>14</w:t>
      </w:r>
      <w:r>
        <w:rPr>
          <w:rFonts w:cs="Arial"/>
        </w:rPr>
        <w:t xml:space="preserve"> reached</w:t>
      </w:r>
      <w:r w:rsidRPr="00E41B01">
        <w:rPr>
          <w:rFonts w:cs="Arial"/>
        </w:rPr>
        <w:t xml:space="preserve"> </w:t>
      </w:r>
      <w:r>
        <w:rPr>
          <w:rFonts w:cs="Arial"/>
        </w:rPr>
        <w:t xml:space="preserve">just over </w:t>
      </w:r>
      <w:r w:rsidRPr="00E41B01">
        <w:rPr>
          <w:rFonts w:cs="Arial"/>
        </w:rPr>
        <w:t>$</w:t>
      </w:r>
      <w:r>
        <w:rPr>
          <w:rFonts w:cs="Arial"/>
        </w:rPr>
        <w:t>114</w:t>
      </w:r>
      <w:r w:rsidRPr="00644FC1">
        <w:rPr>
          <w:rFonts w:cs="Arial"/>
          <w:color w:val="FF0000"/>
        </w:rPr>
        <w:t xml:space="preserve"> </w:t>
      </w:r>
      <w:r>
        <w:rPr>
          <w:rFonts w:cs="Arial"/>
        </w:rPr>
        <w:t>billion.</w:t>
      </w:r>
    </w:p>
    <w:p w:rsidR="00147CF3" w:rsidRPr="00C25BFB" w:rsidRDefault="00147CF3" w:rsidP="00147CF3">
      <w:pPr>
        <w:spacing w:after="120"/>
        <w:rPr>
          <w:rFonts w:cs="Arial"/>
        </w:rPr>
      </w:pPr>
      <w:r w:rsidRPr="0031285B">
        <w:rPr>
          <w:rFonts w:cs="Arial"/>
        </w:rPr>
        <w:t>Iron ore remained the State’s highest value commodity, accounting for</w:t>
      </w:r>
      <w:r>
        <w:rPr>
          <w:rFonts w:cs="Arial"/>
        </w:rPr>
        <w:t xml:space="preserve"> a </w:t>
      </w:r>
      <w:r w:rsidRPr="0031285B">
        <w:rPr>
          <w:rFonts w:cs="Arial"/>
        </w:rPr>
        <w:t>$</w:t>
      </w:r>
      <w:r>
        <w:rPr>
          <w:rFonts w:cs="Arial"/>
        </w:rPr>
        <w:t>65</w:t>
      </w:r>
      <w:r w:rsidRPr="00644FC1">
        <w:rPr>
          <w:rFonts w:cs="Arial"/>
          <w:color w:val="FF0000"/>
        </w:rPr>
        <w:t> </w:t>
      </w:r>
      <w:r w:rsidRPr="0031285B">
        <w:rPr>
          <w:rFonts w:cs="Arial"/>
        </w:rPr>
        <w:t>billion (</w:t>
      </w:r>
      <w:r w:rsidRPr="00CF4F55">
        <w:rPr>
          <w:rFonts w:cs="Arial"/>
        </w:rPr>
        <w:t>7</w:t>
      </w:r>
      <w:r>
        <w:rPr>
          <w:rFonts w:cs="Arial"/>
        </w:rPr>
        <w:t>5</w:t>
      </w:r>
      <w:r w:rsidRPr="00CF4F55">
        <w:rPr>
          <w:rFonts w:cs="Arial"/>
        </w:rPr>
        <w:t> </w:t>
      </w:r>
      <w:r w:rsidRPr="0031285B">
        <w:rPr>
          <w:rFonts w:cs="Arial"/>
        </w:rPr>
        <w:t>per cent)</w:t>
      </w:r>
      <w:r>
        <w:rPr>
          <w:rFonts w:cs="Arial"/>
        </w:rPr>
        <w:t xml:space="preserve"> of total mineral sales in 20</w:t>
      </w:r>
      <w:r w:rsidRPr="0031285B">
        <w:rPr>
          <w:rFonts w:cs="Arial"/>
        </w:rPr>
        <w:t>14.</w:t>
      </w:r>
      <w:r>
        <w:rPr>
          <w:rFonts w:cs="Arial"/>
        </w:rPr>
        <w:t xml:space="preserve">  This represents a decrease of six per cent from 2013, which can be attributed to the sharp drop in iron ore prices in the second half of the year</w:t>
      </w:r>
      <w:r w:rsidRPr="0031285B">
        <w:rPr>
          <w:rFonts w:cs="Arial"/>
        </w:rPr>
        <w:t>.</w:t>
      </w:r>
      <w:r>
        <w:rPr>
          <w:rFonts w:cs="Arial"/>
        </w:rPr>
        <w:t xml:space="preserve">  Project expansions, together w</w:t>
      </w:r>
      <w:r w:rsidRPr="0031285B">
        <w:rPr>
          <w:rFonts w:cs="Arial"/>
        </w:rPr>
        <w:t xml:space="preserve">ith strong demand led by China, </w:t>
      </w:r>
      <w:r>
        <w:rPr>
          <w:rFonts w:cs="Arial"/>
        </w:rPr>
        <w:t>saw iron ore achieve</w:t>
      </w:r>
      <w:r w:rsidRPr="0031285B">
        <w:rPr>
          <w:rFonts w:cs="Arial"/>
        </w:rPr>
        <w:t xml:space="preserve"> record levels of export quantities.  </w:t>
      </w:r>
      <w:r>
        <w:rPr>
          <w:rFonts w:cs="Arial"/>
        </w:rPr>
        <w:t>In total</w:t>
      </w:r>
      <w:r w:rsidRPr="00CF4F55">
        <w:rPr>
          <w:rFonts w:cs="Arial"/>
        </w:rPr>
        <w:t xml:space="preserve"> 6</w:t>
      </w:r>
      <w:r>
        <w:rPr>
          <w:rFonts w:cs="Arial"/>
        </w:rPr>
        <w:t>97</w:t>
      </w:r>
      <w:r w:rsidRPr="00CF4F55">
        <w:rPr>
          <w:rFonts w:cs="Arial"/>
        </w:rPr>
        <w:t> </w:t>
      </w:r>
      <w:r w:rsidRPr="0031285B">
        <w:rPr>
          <w:rFonts w:cs="Arial"/>
        </w:rPr>
        <w:t>million tonnes</w:t>
      </w:r>
      <w:r>
        <w:rPr>
          <w:rFonts w:cs="Arial"/>
        </w:rPr>
        <w:t xml:space="preserve"> of iron ore were </w:t>
      </w:r>
      <w:r w:rsidRPr="0031285B">
        <w:rPr>
          <w:rFonts w:cs="Arial"/>
        </w:rPr>
        <w:t>exported</w:t>
      </w:r>
      <w:r>
        <w:rPr>
          <w:rFonts w:cs="Arial"/>
        </w:rPr>
        <w:t xml:space="preserve"> which was </w:t>
      </w:r>
      <w:r w:rsidRPr="0031285B">
        <w:rPr>
          <w:rFonts w:cs="Arial"/>
        </w:rPr>
        <w:t xml:space="preserve">an increase of </w:t>
      </w:r>
      <w:r>
        <w:rPr>
          <w:rFonts w:cs="Arial"/>
        </w:rPr>
        <w:t>25</w:t>
      </w:r>
      <w:r w:rsidRPr="00CF4F55">
        <w:rPr>
          <w:rFonts w:cs="Arial"/>
        </w:rPr>
        <w:t> p</w:t>
      </w:r>
      <w:r w:rsidRPr="0031285B">
        <w:rPr>
          <w:rFonts w:cs="Arial"/>
        </w:rPr>
        <w:t xml:space="preserve">er cent on the previous </w:t>
      </w:r>
      <w:r>
        <w:rPr>
          <w:rFonts w:cs="Arial"/>
        </w:rPr>
        <w:t>calendar</w:t>
      </w:r>
      <w:r w:rsidRPr="0031285B">
        <w:rPr>
          <w:rFonts w:cs="Arial"/>
        </w:rPr>
        <w:t xml:space="preserve"> year.  </w:t>
      </w:r>
    </w:p>
    <w:p w:rsidR="00147CF3" w:rsidRPr="00C25BFB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C25BFB">
        <w:rPr>
          <w:rFonts w:cs="Arial"/>
        </w:rPr>
        <w:t xml:space="preserve">The </w:t>
      </w:r>
      <w:r>
        <w:rPr>
          <w:rFonts w:cs="Arial"/>
        </w:rPr>
        <w:t xml:space="preserve">US dollar </w:t>
      </w:r>
      <w:r w:rsidRPr="00C25BFB">
        <w:rPr>
          <w:rFonts w:cs="Arial"/>
        </w:rPr>
        <w:t xml:space="preserve">gold price </w:t>
      </w:r>
      <w:r>
        <w:rPr>
          <w:rFonts w:cs="Arial"/>
        </w:rPr>
        <w:t>was weaker throughout</w:t>
      </w:r>
      <w:r w:rsidRPr="00C25BFB">
        <w:rPr>
          <w:rFonts w:cs="Arial"/>
        </w:rPr>
        <w:t xml:space="preserve"> 2014</w:t>
      </w:r>
      <w:r>
        <w:rPr>
          <w:rFonts w:cs="Arial"/>
        </w:rPr>
        <w:t xml:space="preserve"> compared to the previous period and averaged US$1,266 an ounce, down 10 per cent.  In Australian dollar terms the gold price averaged </w:t>
      </w:r>
      <w:proofErr w:type="gramStart"/>
      <w:r>
        <w:rPr>
          <w:rFonts w:cs="Arial"/>
        </w:rPr>
        <w:t>A$</w:t>
      </w:r>
      <w:proofErr w:type="gramEnd"/>
      <w:r>
        <w:rPr>
          <w:rFonts w:cs="Arial"/>
        </w:rPr>
        <w:t>1,413, a fall of three and a half per cent</w:t>
      </w:r>
      <w:r w:rsidRPr="00C25BFB">
        <w:rPr>
          <w:rFonts w:cs="Arial"/>
        </w:rPr>
        <w:t xml:space="preserve">.   This resulted in total sales of </w:t>
      </w:r>
      <w:r w:rsidRPr="00CF4F55">
        <w:rPr>
          <w:rFonts w:cs="Arial"/>
        </w:rPr>
        <w:t>$8.</w:t>
      </w:r>
      <w:r>
        <w:rPr>
          <w:rFonts w:cs="Arial"/>
        </w:rPr>
        <w:t>7</w:t>
      </w:r>
      <w:r w:rsidRPr="00CF4F55">
        <w:rPr>
          <w:rFonts w:cs="Arial"/>
        </w:rPr>
        <w:t> b</w:t>
      </w:r>
      <w:r>
        <w:rPr>
          <w:rFonts w:cs="Arial"/>
        </w:rPr>
        <w:t>illion for 20</w:t>
      </w:r>
      <w:r w:rsidRPr="00C25BFB">
        <w:rPr>
          <w:rFonts w:cs="Arial"/>
        </w:rPr>
        <w:t>14</w:t>
      </w:r>
      <w:r>
        <w:rPr>
          <w:rFonts w:cs="Arial"/>
        </w:rPr>
        <w:t>, close to that of 2013</w:t>
      </w:r>
      <w:r w:rsidRPr="00C25BFB">
        <w:rPr>
          <w:rFonts w:cs="Arial"/>
        </w:rPr>
        <w:t>.</w:t>
      </w:r>
      <w:r>
        <w:rPr>
          <w:rFonts w:cs="Arial"/>
        </w:rPr>
        <w:t xml:space="preserve"> </w:t>
      </w:r>
    </w:p>
    <w:p w:rsidR="00147CF3" w:rsidRPr="00C25BFB" w:rsidRDefault="00147CF3" w:rsidP="00147CF3">
      <w:pPr>
        <w:spacing w:after="120"/>
        <w:rPr>
          <w:rFonts w:cs="Arial"/>
        </w:rPr>
      </w:pPr>
      <w:r>
        <w:rPr>
          <w:rFonts w:cs="Arial"/>
        </w:rPr>
        <w:t>Together i</w:t>
      </w:r>
      <w:r w:rsidRPr="0031285B">
        <w:rPr>
          <w:rFonts w:cs="Arial"/>
        </w:rPr>
        <w:t>ron ore and gold accounted for $</w:t>
      </w:r>
      <w:r>
        <w:rPr>
          <w:rFonts w:cs="Arial"/>
        </w:rPr>
        <w:t>73.7</w:t>
      </w:r>
      <w:r w:rsidRPr="00644FC1">
        <w:rPr>
          <w:rFonts w:cs="Arial"/>
          <w:color w:val="FF0000"/>
        </w:rPr>
        <w:t> </w:t>
      </w:r>
      <w:r w:rsidRPr="0031285B">
        <w:rPr>
          <w:rFonts w:cs="Arial"/>
        </w:rPr>
        <w:t xml:space="preserve">billion </w:t>
      </w:r>
      <w:r w:rsidRPr="00CF4F55">
        <w:rPr>
          <w:rFonts w:cs="Arial"/>
        </w:rPr>
        <w:t>(8</w:t>
      </w:r>
      <w:r>
        <w:rPr>
          <w:rFonts w:cs="Arial"/>
        </w:rPr>
        <w:t>5</w:t>
      </w:r>
      <w:r w:rsidRPr="00CF4F55">
        <w:rPr>
          <w:rFonts w:cs="Arial"/>
        </w:rPr>
        <w:t> </w:t>
      </w:r>
      <w:r w:rsidRPr="0031285B">
        <w:rPr>
          <w:rFonts w:cs="Arial"/>
        </w:rPr>
        <w:t xml:space="preserve">per cent) of all mineral sales in 2014.  </w:t>
      </w:r>
    </w:p>
    <w:p w:rsidR="00147CF3" w:rsidRPr="005E4D23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C25BFB">
        <w:rPr>
          <w:rFonts w:cs="Arial"/>
        </w:rPr>
        <w:t>The petroleum sector, which includes crude oil, condensate, LNG, natural gas and LPG (butane and propane), was valued at $</w:t>
      </w:r>
      <w:r>
        <w:rPr>
          <w:rFonts w:cs="Arial"/>
        </w:rPr>
        <w:t>27.6</w:t>
      </w:r>
      <w:r w:rsidRPr="00644FC1">
        <w:rPr>
          <w:rFonts w:cs="Arial"/>
          <w:color w:val="FF0000"/>
        </w:rPr>
        <w:t> </w:t>
      </w:r>
      <w:r w:rsidRPr="00C25BFB">
        <w:rPr>
          <w:rFonts w:cs="Arial"/>
        </w:rPr>
        <w:t>billion</w:t>
      </w:r>
      <w:r w:rsidRPr="00E65DEF">
        <w:rPr>
          <w:rFonts w:cs="Arial"/>
        </w:rPr>
        <w:t xml:space="preserve">, an increase of </w:t>
      </w:r>
      <w:r>
        <w:rPr>
          <w:rFonts w:cs="Arial"/>
        </w:rPr>
        <w:t>11.8</w:t>
      </w:r>
      <w:r w:rsidRPr="00E65DEF">
        <w:rPr>
          <w:rFonts w:cs="Arial"/>
        </w:rPr>
        <w:t> per cent on the previous year.  This increase was largely attributed to LNG.</w:t>
      </w:r>
    </w:p>
    <w:p w:rsidR="00147CF3" w:rsidRPr="005E4D23" w:rsidRDefault="00147CF3" w:rsidP="00147CF3">
      <w:pPr>
        <w:shd w:val="clear" w:color="auto" w:fill="FFFFFF"/>
        <w:spacing w:after="120"/>
        <w:rPr>
          <w:rFonts w:cs="Arial"/>
        </w:rPr>
      </w:pPr>
      <w:r>
        <w:rPr>
          <w:rFonts w:cs="Arial"/>
        </w:rPr>
        <w:t>The Australian dollar averaged 90 US cents for the period, a fall of seven per cent</w:t>
      </w:r>
      <w:r w:rsidRPr="0031285B">
        <w:rPr>
          <w:rFonts w:cs="Arial"/>
        </w:rPr>
        <w:t xml:space="preserve">. </w:t>
      </w:r>
      <w:r>
        <w:rPr>
          <w:rFonts w:cs="Arial"/>
        </w:rPr>
        <w:t>This</w:t>
      </w:r>
      <w:r w:rsidRPr="00E41B01">
        <w:rPr>
          <w:rFonts w:cs="Arial"/>
        </w:rPr>
        <w:t xml:space="preserve"> weakening </w:t>
      </w:r>
      <w:r>
        <w:rPr>
          <w:rFonts w:cs="Arial"/>
        </w:rPr>
        <w:t xml:space="preserve">of the </w:t>
      </w:r>
      <w:r w:rsidRPr="00E41B01">
        <w:rPr>
          <w:rFonts w:cs="Arial"/>
        </w:rPr>
        <w:t xml:space="preserve">Australian dollar </w:t>
      </w:r>
      <w:r>
        <w:rPr>
          <w:rFonts w:cs="Arial"/>
        </w:rPr>
        <w:t xml:space="preserve">helped to </w:t>
      </w:r>
      <w:r w:rsidRPr="00E41B01">
        <w:rPr>
          <w:rFonts w:cs="Arial"/>
        </w:rPr>
        <w:t>offset</w:t>
      </w:r>
      <w:r>
        <w:rPr>
          <w:rFonts w:cs="Arial"/>
        </w:rPr>
        <w:t xml:space="preserve"> </w:t>
      </w:r>
      <w:r w:rsidRPr="00E41B01">
        <w:rPr>
          <w:rFonts w:cs="Arial"/>
        </w:rPr>
        <w:t>falling commodity prices</w:t>
      </w:r>
      <w:r>
        <w:rPr>
          <w:rFonts w:cs="Arial"/>
        </w:rPr>
        <w:t xml:space="preserve">. </w:t>
      </w:r>
      <w:r w:rsidRPr="0031285B">
        <w:rPr>
          <w:rFonts w:cs="Arial"/>
        </w:rPr>
        <w:t xml:space="preserve">Traditionally perceived as a commodity currency, the Australian dollar decreased in line with falling commodity prices and therefore shielded producers </w:t>
      </w:r>
      <w:r>
        <w:rPr>
          <w:rFonts w:cs="Arial"/>
        </w:rPr>
        <w:t xml:space="preserve">to some extent </w:t>
      </w:r>
      <w:r w:rsidRPr="0031285B">
        <w:rPr>
          <w:rFonts w:cs="Arial"/>
        </w:rPr>
        <w:t xml:space="preserve">from lower prices. </w:t>
      </w:r>
      <w:r>
        <w:rPr>
          <w:rFonts w:cs="Arial"/>
        </w:rPr>
        <w:t>Increased output, the result of considerable investment in resource projects, particularly iron ore, also boosted the end result.</w:t>
      </w:r>
      <w:r w:rsidRPr="0031285B">
        <w:rPr>
          <w:rFonts w:cs="Arial"/>
        </w:rPr>
        <w:t xml:space="preserve"> </w:t>
      </w:r>
    </w:p>
    <w:p w:rsidR="00147CF3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5E4D23">
        <w:rPr>
          <w:rFonts w:cs="Arial"/>
        </w:rPr>
        <w:t>ABS figures showed that</w:t>
      </w:r>
      <w:r>
        <w:rPr>
          <w:rFonts w:cs="Arial"/>
        </w:rPr>
        <w:t xml:space="preserve"> mining</w:t>
      </w:r>
      <w:r w:rsidRPr="005E4D23">
        <w:rPr>
          <w:rFonts w:cs="Arial"/>
        </w:rPr>
        <w:t xml:space="preserve"> investment activity in Western Australia fell</w:t>
      </w:r>
      <w:r>
        <w:rPr>
          <w:rFonts w:cs="Arial"/>
        </w:rPr>
        <w:t xml:space="preserve"> slightly</w:t>
      </w:r>
      <w:r w:rsidRPr="005E4D23">
        <w:rPr>
          <w:rFonts w:cs="Arial"/>
        </w:rPr>
        <w:t xml:space="preserve"> </w:t>
      </w:r>
      <w:r>
        <w:rPr>
          <w:rFonts w:cs="Arial"/>
        </w:rPr>
        <w:t>during 20</w:t>
      </w:r>
      <w:r w:rsidRPr="005E4D23">
        <w:rPr>
          <w:rFonts w:cs="Arial"/>
        </w:rPr>
        <w:t xml:space="preserve">14, with the State’s mining industry investing $46 billion, a </w:t>
      </w:r>
      <w:r>
        <w:rPr>
          <w:rFonts w:cs="Arial"/>
        </w:rPr>
        <w:t>one</w:t>
      </w:r>
      <w:r w:rsidRPr="005E4D23">
        <w:rPr>
          <w:rFonts w:cs="Arial"/>
        </w:rPr>
        <w:t xml:space="preserve"> per cent decrease </w:t>
      </w:r>
      <w:r>
        <w:rPr>
          <w:rFonts w:cs="Arial"/>
        </w:rPr>
        <w:t>compared to 20</w:t>
      </w:r>
      <w:r w:rsidRPr="005E4D23">
        <w:rPr>
          <w:rFonts w:cs="Arial"/>
        </w:rPr>
        <w:t>13.  This result was not unexpected as large investment in mine expansions and new projects</w:t>
      </w:r>
      <w:r>
        <w:rPr>
          <w:rFonts w:cs="Arial"/>
        </w:rPr>
        <w:t xml:space="preserve"> slowed in the</w:t>
      </w:r>
      <w:r w:rsidRPr="005E4D23">
        <w:rPr>
          <w:rFonts w:cs="Arial"/>
        </w:rPr>
        <w:t xml:space="preserve"> transition from construction to</w:t>
      </w:r>
      <w:r>
        <w:rPr>
          <w:rFonts w:cs="Arial"/>
        </w:rPr>
        <w:t xml:space="preserve"> the</w:t>
      </w:r>
      <w:r w:rsidRPr="005E4D23">
        <w:rPr>
          <w:rFonts w:cs="Arial"/>
        </w:rPr>
        <w:t xml:space="preserve"> production</w:t>
      </w:r>
      <w:r>
        <w:rPr>
          <w:rFonts w:cs="Arial"/>
        </w:rPr>
        <w:t xml:space="preserve"> phase of the resource lifecycle</w:t>
      </w:r>
      <w:r w:rsidRPr="005E4D23">
        <w:rPr>
          <w:rFonts w:cs="Arial"/>
        </w:rPr>
        <w:t>.</w:t>
      </w:r>
      <w:r>
        <w:rPr>
          <w:rFonts w:cs="Arial"/>
        </w:rPr>
        <w:t xml:space="preserve">  </w:t>
      </w:r>
    </w:p>
    <w:p w:rsidR="00147CF3" w:rsidRPr="005E4D23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5E4D23">
        <w:rPr>
          <w:rFonts w:cs="Arial"/>
        </w:rPr>
        <w:t>Western Australia remai</w:t>
      </w:r>
      <w:r>
        <w:rPr>
          <w:rFonts w:cs="Arial"/>
        </w:rPr>
        <w:t xml:space="preserve">ned the nation’s leading mining </w:t>
      </w:r>
      <w:r w:rsidRPr="005E4D23">
        <w:rPr>
          <w:rFonts w:cs="Arial"/>
        </w:rPr>
        <w:t>investment destination, attracting 5</w:t>
      </w:r>
      <w:r>
        <w:rPr>
          <w:rFonts w:cs="Arial"/>
        </w:rPr>
        <w:t>5</w:t>
      </w:r>
      <w:r w:rsidRPr="005E4D23">
        <w:rPr>
          <w:rFonts w:cs="Arial"/>
        </w:rPr>
        <w:t xml:space="preserve"> per cent of total national capital spending </w:t>
      </w:r>
      <w:r>
        <w:rPr>
          <w:rFonts w:cs="Arial"/>
        </w:rPr>
        <w:t>of $83</w:t>
      </w:r>
      <w:r w:rsidRPr="005E4D23">
        <w:rPr>
          <w:rFonts w:cs="Arial"/>
        </w:rPr>
        <w:t xml:space="preserve"> billion.  </w:t>
      </w:r>
    </w:p>
    <w:p w:rsidR="00147CF3" w:rsidRPr="002E60EB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Although r</w:t>
      </w:r>
      <w:r w:rsidRPr="005E4D23">
        <w:rPr>
          <w:rFonts w:cs="Arial"/>
        </w:rPr>
        <w:t>ecent falls in commodity prices have also caused some mining companies to re-eval</w:t>
      </w:r>
      <w:r>
        <w:rPr>
          <w:rFonts w:cs="Arial"/>
        </w:rPr>
        <w:t>uate their investment positions the d</w:t>
      </w:r>
      <w:r w:rsidRPr="005E4D23">
        <w:rPr>
          <w:rFonts w:cs="Arial"/>
        </w:rPr>
        <w:t>ominance of the resources sector in the nation’s economy is expected to continue</w:t>
      </w:r>
      <w:r>
        <w:rPr>
          <w:rFonts w:cs="Arial"/>
        </w:rPr>
        <w:t>.</w:t>
      </w:r>
      <w:r w:rsidRPr="005E4D23">
        <w:rPr>
          <w:rFonts w:cs="Arial"/>
        </w:rPr>
        <w:t xml:space="preserve"> </w:t>
      </w:r>
      <w:r>
        <w:rPr>
          <w:rFonts w:cs="Arial"/>
        </w:rPr>
        <w:t>This is due to</w:t>
      </w:r>
      <w:r w:rsidRPr="005E4D23">
        <w:rPr>
          <w:rFonts w:cs="Arial"/>
        </w:rPr>
        <w:t xml:space="preserve"> the number of projects which have been expanded or developed, in particul</w:t>
      </w:r>
      <w:r>
        <w:rPr>
          <w:rFonts w:cs="Arial"/>
        </w:rPr>
        <w:t xml:space="preserve">ar iron ore and LNG.  </w:t>
      </w:r>
    </w:p>
    <w:p w:rsidR="00147CF3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2E60EB">
        <w:rPr>
          <w:rFonts w:cs="Arial"/>
        </w:rPr>
        <w:t xml:space="preserve">As at </w:t>
      </w:r>
      <w:r>
        <w:rPr>
          <w:rFonts w:cs="Arial"/>
        </w:rPr>
        <w:t>March 2015</w:t>
      </w:r>
      <w:r w:rsidRPr="002E60EB">
        <w:rPr>
          <w:rFonts w:cs="Arial"/>
        </w:rPr>
        <w:t xml:space="preserve">, Western Australia had </w:t>
      </w:r>
      <w:r w:rsidRPr="00DE10C3">
        <w:rPr>
          <w:rFonts w:cs="Arial"/>
        </w:rPr>
        <w:t xml:space="preserve">an estimated </w:t>
      </w:r>
      <w:r w:rsidRPr="005E4D23">
        <w:rPr>
          <w:rFonts w:cs="Arial"/>
        </w:rPr>
        <w:t>$1</w:t>
      </w:r>
      <w:r>
        <w:rPr>
          <w:rFonts w:cs="Arial"/>
        </w:rPr>
        <w:t>79</w:t>
      </w:r>
      <w:r w:rsidRPr="005E4D23">
        <w:rPr>
          <w:rFonts w:cs="Arial"/>
        </w:rPr>
        <w:t xml:space="preserve"> billion worth</w:t>
      </w:r>
      <w:r w:rsidRPr="002E60EB">
        <w:rPr>
          <w:rFonts w:cs="Arial"/>
        </w:rPr>
        <w:t xml:space="preserve"> of resource projects under construction or in the committed stage of </w:t>
      </w:r>
      <w:r w:rsidRPr="002E60EB">
        <w:rPr>
          <w:rFonts w:cs="Arial"/>
        </w:rPr>
        <w:lastRenderedPageBreak/>
        <w:t xml:space="preserve">development.  A </w:t>
      </w:r>
      <w:r w:rsidRPr="002D1893">
        <w:rPr>
          <w:rFonts w:cs="Arial"/>
        </w:rPr>
        <w:t xml:space="preserve">further </w:t>
      </w:r>
      <w:r w:rsidRPr="005E4D23">
        <w:rPr>
          <w:rFonts w:cs="Arial"/>
        </w:rPr>
        <w:t>$1</w:t>
      </w:r>
      <w:r>
        <w:rPr>
          <w:rFonts w:cs="Arial"/>
        </w:rPr>
        <w:t>1</w:t>
      </w:r>
      <w:r w:rsidRPr="005E4D23">
        <w:rPr>
          <w:rFonts w:cs="Arial"/>
        </w:rPr>
        <w:t>8 billion</w:t>
      </w:r>
      <w:r w:rsidRPr="002E60EB">
        <w:rPr>
          <w:rFonts w:cs="Arial"/>
        </w:rPr>
        <w:t xml:space="preserve"> has been identified as being allocated to planned or possible projects in coming years.</w:t>
      </w:r>
    </w:p>
    <w:p w:rsidR="00147CF3" w:rsidRPr="002E60EB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</w:p>
    <w:p w:rsidR="00147CF3" w:rsidRPr="006877D0" w:rsidRDefault="00147CF3" w:rsidP="00147CF3">
      <w:pPr>
        <w:keepNext/>
        <w:keepLines/>
        <w:spacing w:after="120"/>
        <w:outlineLvl w:val="1"/>
        <w:rPr>
          <w:rFonts w:cs="Arial"/>
          <w:b/>
        </w:rPr>
      </w:pPr>
      <w:r>
        <w:rPr>
          <w:rFonts w:cs="Arial"/>
          <w:b/>
        </w:rPr>
        <w:t>Highlights in 20</w:t>
      </w:r>
      <w:r w:rsidRPr="006877D0">
        <w:rPr>
          <w:rFonts w:cs="Arial"/>
          <w:b/>
        </w:rPr>
        <w:t>14</w:t>
      </w:r>
    </w:p>
    <w:p w:rsidR="00147CF3" w:rsidRPr="006877D0" w:rsidRDefault="00147CF3" w:rsidP="00147CF3">
      <w:pPr>
        <w:spacing w:after="120"/>
        <w:rPr>
          <w:rFonts w:cs="Arial"/>
        </w:rPr>
      </w:pPr>
      <w:r w:rsidRPr="006877D0">
        <w:rPr>
          <w:rFonts w:cs="Arial"/>
          <w:b/>
        </w:rPr>
        <w:t>Iron ore</w:t>
      </w:r>
      <w:r w:rsidRPr="006877D0">
        <w:rPr>
          <w:rFonts w:cs="Arial"/>
        </w:rPr>
        <w:t xml:space="preserve"> remains the State's most valuable sector of the mining industry, accounting for $</w:t>
      </w:r>
      <w:r>
        <w:rPr>
          <w:rFonts w:cs="Arial"/>
        </w:rPr>
        <w:t>65</w:t>
      </w:r>
      <w:r w:rsidRPr="00644FC1">
        <w:rPr>
          <w:rFonts w:cs="Arial"/>
          <w:color w:val="FF0000"/>
        </w:rPr>
        <w:t> </w:t>
      </w:r>
      <w:r w:rsidRPr="006877D0">
        <w:rPr>
          <w:rFonts w:cs="Arial"/>
        </w:rPr>
        <w:t>billion</w:t>
      </w:r>
      <w:r w:rsidRPr="00946014">
        <w:rPr>
          <w:rFonts w:cs="Arial"/>
        </w:rPr>
        <w:t xml:space="preserve"> (7</w:t>
      </w:r>
      <w:r>
        <w:rPr>
          <w:rFonts w:cs="Arial"/>
        </w:rPr>
        <w:t>5</w:t>
      </w:r>
      <w:r w:rsidRPr="00946014">
        <w:rPr>
          <w:rFonts w:cs="Arial"/>
        </w:rPr>
        <w:t xml:space="preserve"> </w:t>
      </w:r>
      <w:r w:rsidRPr="006877D0">
        <w:rPr>
          <w:rFonts w:cs="Arial"/>
        </w:rPr>
        <w:t xml:space="preserve">per cent) of the mineral sector’s total sales. </w:t>
      </w:r>
      <w:r>
        <w:rPr>
          <w:rFonts w:cs="Arial"/>
          <w:color w:val="FF0000"/>
        </w:rPr>
        <w:t xml:space="preserve"> </w:t>
      </w:r>
      <w:r w:rsidRPr="006877D0">
        <w:rPr>
          <w:rFonts w:cs="Arial"/>
        </w:rPr>
        <w:t xml:space="preserve">This result was </w:t>
      </w:r>
      <w:r>
        <w:rPr>
          <w:rFonts w:cs="Arial"/>
        </w:rPr>
        <w:t>six</w:t>
      </w:r>
      <w:r w:rsidRPr="00644FC1">
        <w:rPr>
          <w:rFonts w:cs="Arial"/>
          <w:color w:val="FF0000"/>
        </w:rPr>
        <w:t xml:space="preserve"> </w:t>
      </w:r>
      <w:r w:rsidRPr="006877D0">
        <w:rPr>
          <w:rFonts w:cs="Arial"/>
        </w:rPr>
        <w:t xml:space="preserve">per cent </w:t>
      </w:r>
      <w:r>
        <w:rPr>
          <w:rFonts w:cs="Arial"/>
        </w:rPr>
        <w:t>lower than in 20</w:t>
      </w:r>
      <w:r w:rsidRPr="006877D0">
        <w:rPr>
          <w:rFonts w:cs="Arial"/>
        </w:rPr>
        <w:t>13</w:t>
      </w:r>
      <w:r>
        <w:rPr>
          <w:rFonts w:cs="Arial"/>
        </w:rPr>
        <w:t>. O</w:t>
      </w:r>
      <w:r w:rsidRPr="006877D0">
        <w:rPr>
          <w:rFonts w:cs="Arial"/>
        </w:rPr>
        <w:t xml:space="preserve">utput </w:t>
      </w:r>
      <w:r>
        <w:rPr>
          <w:rFonts w:cs="Arial"/>
        </w:rPr>
        <w:t>increased</w:t>
      </w:r>
      <w:r w:rsidRPr="006877D0">
        <w:rPr>
          <w:rFonts w:cs="Arial"/>
        </w:rPr>
        <w:t xml:space="preserve"> </w:t>
      </w:r>
      <w:r>
        <w:rPr>
          <w:rFonts w:cs="Arial"/>
        </w:rPr>
        <w:t>by 25</w:t>
      </w:r>
      <w:r w:rsidRPr="00946014">
        <w:rPr>
          <w:rFonts w:cs="Arial"/>
        </w:rPr>
        <w:t> p</w:t>
      </w:r>
      <w:r w:rsidRPr="006877D0">
        <w:rPr>
          <w:rFonts w:cs="Arial"/>
        </w:rPr>
        <w:t xml:space="preserve">er cent </w:t>
      </w:r>
      <w:r>
        <w:rPr>
          <w:rFonts w:cs="Arial"/>
        </w:rPr>
        <w:t>(138</w:t>
      </w:r>
      <w:r w:rsidRPr="00644FC1">
        <w:rPr>
          <w:rFonts w:cs="Arial"/>
          <w:color w:val="FF0000"/>
        </w:rPr>
        <w:t> </w:t>
      </w:r>
      <w:r w:rsidRPr="006877D0">
        <w:rPr>
          <w:rFonts w:cs="Arial"/>
        </w:rPr>
        <w:t>million tonnes</w:t>
      </w:r>
      <w:r>
        <w:rPr>
          <w:rFonts w:cs="Arial"/>
        </w:rPr>
        <w:t xml:space="preserve">) which </w:t>
      </w:r>
      <w:r w:rsidRPr="006877D0">
        <w:rPr>
          <w:rFonts w:cs="Arial"/>
        </w:rPr>
        <w:t>offset weaker prices</w:t>
      </w:r>
      <w:r>
        <w:rPr>
          <w:rFonts w:cs="Arial"/>
        </w:rPr>
        <w:t xml:space="preserve"> in the latter part of the year</w:t>
      </w:r>
      <w:r w:rsidRPr="006877D0">
        <w:rPr>
          <w:rFonts w:cs="Arial"/>
        </w:rPr>
        <w:t xml:space="preserve">.  In total, </w:t>
      </w:r>
      <w:r>
        <w:rPr>
          <w:rFonts w:cs="Arial"/>
        </w:rPr>
        <w:t xml:space="preserve">697 </w:t>
      </w:r>
      <w:r w:rsidRPr="006877D0">
        <w:rPr>
          <w:rFonts w:cs="Arial"/>
        </w:rPr>
        <w:t xml:space="preserve">million tonnes were </w:t>
      </w:r>
      <w:r>
        <w:rPr>
          <w:rFonts w:cs="Arial"/>
        </w:rPr>
        <w:t>sold in 20</w:t>
      </w:r>
      <w:r w:rsidRPr="006877D0">
        <w:rPr>
          <w:rFonts w:cs="Arial"/>
        </w:rPr>
        <w:t>14.</w:t>
      </w:r>
      <w:r>
        <w:rPr>
          <w:rFonts w:cs="Arial"/>
        </w:rPr>
        <w:t xml:space="preserve">  The price of 62 per cent CFR iron ore delivered to China averaged US$128 in January 2014 before falling 46 per cent to average US$69 in December. The Australian dollar iron ore price fell 42 per cent over the period.</w:t>
      </w:r>
    </w:p>
    <w:p w:rsidR="00147CF3" w:rsidRPr="00EA3AE8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6877D0">
        <w:rPr>
          <w:rFonts w:cs="Arial"/>
          <w:b/>
        </w:rPr>
        <w:t>Gold</w:t>
      </w:r>
      <w:r w:rsidRPr="006877D0">
        <w:rPr>
          <w:rFonts w:cs="Arial"/>
        </w:rPr>
        <w:t xml:space="preserve"> was the second most valuable mineral sector, with total sales of</w:t>
      </w:r>
      <w:r w:rsidRPr="002A4B55">
        <w:rPr>
          <w:rFonts w:cs="Arial"/>
        </w:rPr>
        <w:t xml:space="preserve"> $8.</w:t>
      </w:r>
      <w:r>
        <w:rPr>
          <w:rFonts w:cs="Arial"/>
        </w:rPr>
        <w:t>7</w:t>
      </w:r>
      <w:r w:rsidRPr="002A4B55">
        <w:rPr>
          <w:rFonts w:cs="Arial"/>
        </w:rPr>
        <w:t> </w:t>
      </w:r>
      <w:r w:rsidRPr="003B21AB">
        <w:rPr>
          <w:rFonts w:cs="Arial"/>
        </w:rPr>
        <w:t xml:space="preserve">billion, </w:t>
      </w:r>
      <w:r w:rsidRPr="002A4B55">
        <w:rPr>
          <w:rFonts w:cs="Arial"/>
        </w:rPr>
        <w:t xml:space="preserve">representing </w:t>
      </w:r>
      <w:r>
        <w:rPr>
          <w:rFonts w:cs="Arial"/>
        </w:rPr>
        <w:t>10</w:t>
      </w:r>
      <w:r w:rsidRPr="002A4B55">
        <w:rPr>
          <w:rFonts w:cs="Arial"/>
        </w:rPr>
        <w:t> per </w:t>
      </w:r>
      <w:r w:rsidRPr="003B21AB">
        <w:rPr>
          <w:rFonts w:cs="Arial"/>
        </w:rPr>
        <w:t>cent of the mineral sector’s total sales.  The gold price</w:t>
      </w:r>
      <w:r>
        <w:rPr>
          <w:rFonts w:cs="Arial"/>
        </w:rPr>
        <w:t xml:space="preserve"> fell 10 per cent to average US$1,266 an ounce and 3.6 per cent in Australian dollar terms to average </w:t>
      </w:r>
      <w:proofErr w:type="gramStart"/>
      <w:r>
        <w:rPr>
          <w:rFonts w:cs="Arial"/>
        </w:rPr>
        <w:t>A$</w:t>
      </w:r>
      <w:proofErr w:type="gramEnd"/>
      <w:r>
        <w:rPr>
          <w:rFonts w:cs="Arial"/>
        </w:rPr>
        <w:t>1,413 an ounce</w:t>
      </w:r>
      <w:r w:rsidRPr="00723787">
        <w:rPr>
          <w:rFonts w:cs="Arial"/>
        </w:rPr>
        <w:t>.  The quantity sold</w:t>
      </w:r>
      <w:r w:rsidRPr="002A4B55">
        <w:rPr>
          <w:rFonts w:cs="Arial"/>
        </w:rPr>
        <w:t xml:space="preserve"> </w:t>
      </w:r>
      <w:r>
        <w:rPr>
          <w:rFonts w:cs="Arial"/>
        </w:rPr>
        <w:t>rose</w:t>
      </w:r>
      <w:r w:rsidRPr="002A4B55">
        <w:rPr>
          <w:rFonts w:cs="Arial"/>
        </w:rPr>
        <w:t xml:space="preserve"> from </w:t>
      </w:r>
      <w:r>
        <w:rPr>
          <w:rFonts w:cs="Arial"/>
        </w:rPr>
        <w:t>6.6</w:t>
      </w:r>
      <w:r w:rsidRPr="002A4B55">
        <w:rPr>
          <w:rFonts w:cs="Arial"/>
        </w:rPr>
        <w:t> </w:t>
      </w:r>
      <w:r>
        <w:rPr>
          <w:rFonts w:cs="Arial"/>
        </w:rPr>
        <w:t>million ounces in 20</w:t>
      </w:r>
      <w:r w:rsidRPr="00723787">
        <w:rPr>
          <w:rFonts w:cs="Arial"/>
        </w:rPr>
        <w:t>1</w:t>
      </w:r>
      <w:r>
        <w:rPr>
          <w:rFonts w:cs="Arial"/>
        </w:rPr>
        <w:t>3</w:t>
      </w:r>
      <w:r w:rsidRPr="00723787">
        <w:rPr>
          <w:rFonts w:cs="Arial"/>
        </w:rPr>
        <w:t xml:space="preserve"> to </w:t>
      </w:r>
      <w:r>
        <w:rPr>
          <w:rFonts w:cs="Arial"/>
        </w:rPr>
        <w:t>6.8</w:t>
      </w:r>
      <w:r w:rsidRPr="00723787">
        <w:rPr>
          <w:rFonts w:cs="Arial"/>
        </w:rPr>
        <w:t xml:space="preserve"> million ounces</w:t>
      </w:r>
      <w:r>
        <w:rPr>
          <w:rFonts w:cs="Arial"/>
        </w:rPr>
        <w:t>, a three per cent increase</w:t>
      </w:r>
      <w:r w:rsidRPr="00723787">
        <w:rPr>
          <w:rFonts w:cs="Arial"/>
        </w:rPr>
        <w:t>.</w:t>
      </w:r>
    </w:p>
    <w:p w:rsidR="00147CF3" w:rsidRPr="00F50E52" w:rsidRDefault="00147CF3" w:rsidP="00147CF3">
      <w:pPr>
        <w:spacing w:after="120"/>
        <w:rPr>
          <w:rFonts w:cs="Arial"/>
        </w:rPr>
      </w:pPr>
      <w:r w:rsidRPr="00826AAF">
        <w:rPr>
          <w:rFonts w:cs="Arial"/>
          <w:b/>
        </w:rPr>
        <w:t>Alumina</w:t>
      </w:r>
      <w:r w:rsidRPr="00F50E52">
        <w:rPr>
          <w:rFonts w:cs="Arial"/>
        </w:rPr>
        <w:t xml:space="preserve"> was the thir</w:t>
      </w:r>
      <w:r>
        <w:rPr>
          <w:rFonts w:cs="Arial"/>
        </w:rPr>
        <w:t>d most valuable mineral in 20</w:t>
      </w:r>
      <w:r w:rsidRPr="00F50E52">
        <w:rPr>
          <w:rFonts w:cs="Arial"/>
        </w:rPr>
        <w:t>14 reaching $</w:t>
      </w:r>
      <w:r>
        <w:rPr>
          <w:rFonts w:cs="Arial"/>
        </w:rPr>
        <w:t>4.6</w:t>
      </w:r>
      <w:r w:rsidRPr="00F50E52">
        <w:rPr>
          <w:rFonts w:cs="Arial"/>
        </w:rPr>
        <w:t xml:space="preserve">   billion</w:t>
      </w:r>
      <w:r>
        <w:rPr>
          <w:rFonts w:cs="Arial"/>
        </w:rPr>
        <w:t>,</w:t>
      </w:r>
      <w:r w:rsidRPr="00F50E52">
        <w:rPr>
          <w:rFonts w:cs="Arial"/>
        </w:rPr>
        <w:t xml:space="preserve"> a</w:t>
      </w:r>
      <w:r>
        <w:rPr>
          <w:rFonts w:cs="Arial"/>
        </w:rPr>
        <w:t xml:space="preserve">n increase </w:t>
      </w:r>
      <w:r w:rsidRPr="00F50E52">
        <w:rPr>
          <w:rFonts w:cs="Arial"/>
        </w:rPr>
        <w:t xml:space="preserve">of </w:t>
      </w:r>
      <w:r>
        <w:rPr>
          <w:rFonts w:cs="Arial"/>
        </w:rPr>
        <w:t>11</w:t>
      </w:r>
      <w:r w:rsidRPr="00F50E52">
        <w:rPr>
          <w:rFonts w:cs="Arial"/>
        </w:rPr>
        <w:t xml:space="preserve"> per cent over the previous year.  The quantity sold</w:t>
      </w:r>
      <w:r>
        <w:rPr>
          <w:rFonts w:cs="Arial"/>
        </w:rPr>
        <w:t xml:space="preserve"> was up marginally by two per cent to 13.9 million tonnes.</w:t>
      </w:r>
      <w:r w:rsidRPr="00F50E52">
        <w:rPr>
          <w:rFonts w:cs="Arial"/>
        </w:rPr>
        <w:t xml:space="preserve">  Alumina prices </w:t>
      </w:r>
      <w:r>
        <w:rPr>
          <w:rFonts w:cs="Arial"/>
        </w:rPr>
        <w:t>rose</w:t>
      </w:r>
      <w:r w:rsidRPr="00F50E52">
        <w:rPr>
          <w:rFonts w:cs="Arial"/>
        </w:rPr>
        <w:t xml:space="preserve"> by around </w:t>
      </w:r>
      <w:r>
        <w:rPr>
          <w:rFonts w:cs="Arial"/>
        </w:rPr>
        <w:t>two</w:t>
      </w:r>
      <w:r w:rsidRPr="00F50E52">
        <w:rPr>
          <w:rFonts w:cs="Arial"/>
        </w:rPr>
        <w:t xml:space="preserve"> per cent in US dollar terms</w:t>
      </w:r>
      <w:r>
        <w:rPr>
          <w:rFonts w:cs="Arial"/>
        </w:rPr>
        <w:t>.</w:t>
      </w:r>
    </w:p>
    <w:p w:rsidR="00147CF3" w:rsidRPr="00F50E52" w:rsidRDefault="00147CF3" w:rsidP="00147CF3">
      <w:pPr>
        <w:spacing w:after="120"/>
        <w:rPr>
          <w:rFonts w:cs="Arial"/>
        </w:rPr>
      </w:pPr>
      <w:r w:rsidRPr="00826AAF">
        <w:rPr>
          <w:rFonts w:cs="Arial"/>
          <w:b/>
        </w:rPr>
        <w:t>Nickel</w:t>
      </w:r>
      <w:r w:rsidRPr="00F50E52">
        <w:rPr>
          <w:rFonts w:cs="Arial"/>
        </w:rPr>
        <w:t xml:space="preserve"> </w:t>
      </w:r>
      <w:r>
        <w:rPr>
          <w:rFonts w:cs="Arial"/>
        </w:rPr>
        <w:t>w</w:t>
      </w:r>
      <w:r w:rsidRPr="00F50E52">
        <w:rPr>
          <w:rFonts w:cs="Arial"/>
        </w:rPr>
        <w:t xml:space="preserve">as the State’s </w:t>
      </w:r>
      <w:r>
        <w:rPr>
          <w:rFonts w:cs="Arial"/>
        </w:rPr>
        <w:t>fourth</w:t>
      </w:r>
      <w:r w:rsidRPr="00F50E52">
        <w:rPr>
          <w:rFonts w:cs="Arial"/>
        </w:rPr>
        <w:t xml:space="preserve"> most valuable mineral sector. US dollar prices were </w:t>
      </w:r>
      <w:r>
        <w:rPr>
          <w:rFonts w:cs="Arial"/>
        </w:rPr>
        <w:t>volatile over the year however</w:t>
      </w:r>
      <w:r w:rsidRPr="00F50E52">
        <w:rPr>
          <w:rFonts w:cs="Arial"/>
        </w:rPr>
        <w:t xml:space="preserve"> the weakening Australian dollar </w:t>
      </w:r>
      <w:r>
        <w:rPr>
          <w:rFonts w:cs="Arial"/>
        </w:rPr>
        <w:t xml:space="preserve">in the second half </w:t>
      </w:r>
      <w:r w:rsidRPr="00F50E52">
        <w:rPr>
          <w:rFonts w:cs="Arial"/>
        </w:rPr>
        <w:t>resulted in an increase price of around t</w:t>
      </w:r>
      <w:r>
        <w:rPr>
          <w:rFonts w:cs="Arial"/>
        </w:rPr>
        <w:t>hree</w:t>
      </w:r>
      <w:r w:rsidRPr="00F50E52">
        <w:rPr>
          <w:rFonts w:cs="Arial"/>
        </w:rPr>
        <w:t xml:space="preserve"> per cent to producers.  The quantity of nickel sales </w:t>
      </w:r>
      <w:r>
        <w:rPr>
          <w:rFonts w:cs="Arial"/>
        </w:rPr>
        <w:t>fell</w:t>
      </w:r>
      <w:r w:rsidRPr="00F50E52">
        <w:rPr>
          <w:rFonts w:cs="Arial"/>
          <w:color w:val="FF0000"/>
        </w:rPr>
        <w:t xml:space="preserve"> </w:t>
      </w:r>
      <w:r w:rsidRPr="006C40E7">
        <w:rPr>
          <w:rFonts w:cs="Arial"/>
        </w:rPr>
        <w:t xml:space="preserve">by </w:t>
      </w:r>
      <w:r>
        <w:rPr>
          <w:rFonts w:cs="Arial"/>
        </w:rPr>
        <w:t xml:space="preserve">15 </w:t>
      </w:r>
      <w:r w:rsidRPr="006C40E7">
        <w:rPr>
          <w:rFonts w:cs="Arial"/>
        </w:rPr>
        <w:t xml:space="preserve">per cent </w:t>
      </w:r>
      <w:r w:rsidRPr="00F50E52">
        <w:rPr>
          <w:rFonts w:cs="Arial"/>
        </w:rPr>
        <w:t xml:space="preserve">to </w:t>
      </w:r>
      <w:r>
        <w:rPr>
          <w:rFonts w:cs="Arial"/>
        </w:rPr>
        <w:t xml:space="preserve">195,000 </w:t>
      </w:r>
      <w:r w:rsidRPr="00F50E52">
        <w:rPr>
          <w:rFonts w:cs="Arial"/>
        </w:rPr>
        <w:t>tonnes, however the total value</w:t>
      </w:r>
      <w:r>
        <w:rPr>
          <w:rFonts w:cs="Arial"/>
        </w:rPr>
        <w:t xml:space="preserve"> increased</w:t>
      </w:r>
      <w:r w:rsidRPr="006C40E7">
        <w:rPr>
          <w:rFonts w:cs="Arial"/>
        </w:rPr>
        <w:t xml:space="preserve"> by </w:t>
      </w:r>
      <w:r>
        <w:rPr>
          <w:rFonts w:cs="Arial"/>
        </w:rPr>
        <w:t>six</w:t>
      </w:r>
      <w:r w:rsidRPr="006C40E7">
        <w:rPr>
          <w:rFonts w:cs="Arial"/>
        </w:rPr>
        <w:t xml:space="preserve"> p</w:t>
      </w:r>
      <w:r w:rsidRPr="00F50E52">
        <w:rPr>
          <w:rFonts w:cs="Arial"/>
        </w:rPr>
        <w:t xml:space="preserve">er cent, </w:t>
      </w:r>
      <w:r w:rsidRPr="006C40E7">
        <w:rPr>
          <w:rFonts w:cs="Arial"/>
        </w:rPr>
        <w:t>from $3.</w:t>
      </w:r>
      <w:r>
        <w:rPr>
          <w:rFonts w:cs="Arial"/>
        </w:rPr>
        <w:t>4 billion in 20</w:t>
      </w:r>
      <w:r w:rsidRPr="006C40E7">
        <w:rPr>
          <w:rFonts w:cs="Arial"/>
        </w:rPr>
        <w:t>13 to $3.</w:t>
      </w:r>
      <w:r>
        <w:rPr>
          <w:rFonts w:cs="Arial"/>
        </w:rPr>
        <w:t>6</w:t>
      </w:r>
      <w:r w:rsidRPr="006C40E7">
        <w:rPr>
          <w:rFonts w:cs="Arial"/>
        </w:rPr>
        <w:t xml:space="preserve"> billion this </w:t>
      </w:r>
      <w:r>
        <w:rPr>
          <w:rFonts w:cs="Arial"/>
        </w:rPr>
        <w:t>calendar</w:t>
      </w:r>
      <w:r w:rsidRPr="006C40E7">
        <w:rPr>
          <w:rFonts w:cs="Arial"/>
        </w:rPr>
        <w:t xml:space="preserve"> year.  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t xml:space="preserve">The overall value of </w:t>
      </w:r>
      <w:r w:rsidRPr="00355C97">
        <w:rPr>
          <w:rFonts w:cs="Arial"/>
          <w:b/>
        </w:rPr>
        <w:t>base metals</w:t>
      </w:r>
      <w:r w:rsidRPr="00355C97">
        <w:rPr>
          <w:rFonts w:cs="Arial"/>
        </w:rPr>
        <w:t xml:space="preserve"> (copper, lead and zinc</w:t>
      </w:r>
      <w:r w:rsidRPr="006C40E7">
        <w:rPr>
          <w:rFonts w:cs="Arial"/>
        </w:rPr>
        <w:t xml:space="preserve">) increased by </w:t>
      </w:r>
      <w:r>
        <w:rPr>
          <w:rFonts w:cs="Arial"/>
        </w:rPr>
        <w:t>five</w:t>
      </w:r>
      <w:r w:rsidRPr="006C40E7">
        <w:rPr>
          <w:rFonts w:cs="Arial"/>
        </w:rPr>
        <w:t> per cent to just under $1.</w:t>
      </w:r>
      <w:r>
        <w:rPr>
          <w:rFonts w:cs="Arial"/>
        </w:rPr>
        <w:t>8</w:t>
      </w:r>
      <w:r w:rsidRPr="006C40E7">
        <w:rPr>
          <w:rFonts w:cs="Arial"/>
        </w:rPr>
        <w:t xml:space="preserve"> billion </w:t>
      </w:r>
      <w:r>
        <w:rPr>
          <w:rFonts w:cs="Arial"/>
        </w:rPr>
        <w:t>in 20</w:t>
      </w:r>
      <w:r w:rsidRPr="00355C97">
        <w:rPr>
          <w:rFonts w:cs="Arial"/>
        </w:rPr>
        <w:t xml:space="preserve">14.  Copper dominates this group with total sales </w:t>
      </w:r>
      <w:r w:rsidRPr="006C40E7">
        <w:rPr>
          <w:rFonts w:cs="Arial"/>
        </w:rPr>
        <w:t>of $1.</w:t>
      </w:r>
      <w:r>
        <w:rPr>
          <w:rFonts w:cs="Arial"/>
        </w:rPr>
        <w:t>4</w:t>
      </w:r>
      <w:r w:rsidRPr="006C40E7">
        <w:rPr>
          <w:rFonts w:cs="Arial"/>
        </w:rPr>
        <w:t xml:space="preserve"> billion, </w:t>
      </w:r>
      <w:r>
        <w:rPr>
          <w:rFonts w:cs="Arial"/>
        </w:rPr>
        <w:t>down 4.5</w:t>
      </w:r>
      <w:r w:rsidRPr="006C40E7">
        <w:rPr>
          <w:rFonts w:cs="Arial"/>
        </w:rPr>
        <w:t xml:space="preserve"> per cent on </w:t>
      </w:r>
      <w:r w:rsidRPr="00355C97">
        <w:rPr>
          <w:rFonts w:cs="Arial"/>
        </w:rPr>
        <w:t xml:space="preserve">the previous </w:t>
      </w:r>
      <w:r>
        <w:rPr>
          <w:rFonts w:cs="Arial"/>
        </w:rPr>
        <w:t>calendar</w:t>
      </w:r>
      <w:r w:rsidRPr="00355C97">
        <w:rPr>
          <w:rFonts w:cs="Arial"/>
        </w:rPr>
        <w:t xml:space="preserve"> year. Sales of lead increased</w:t>
      </w:r>
      <w:r>
        <w:rPr>
          <w:rFonts w:cs="Arial"/>
        </w:rPr>
        <w:t xml:space="preserve"> </w:t>
      </w:r>
      <w:r w:rsidRPr="006C40E7">
        <w:rPr>
          <w:rFonts w:cs="Arial"/>
        </w:rPr>
        <w:t>from $</w:t>
      </w:r>
      <w:r>
        <w:rPr>
          <w:rFonts w:cs="Arial"/>
        </w:rPr>
        <w:t>116</w:t>
      </w:r>
      <w:r w:rsidRPr="006C40E7">
        <w:rPr>
          <w:rFonts w:cs="Arial"/>
        </w:rPr>
        <w:t xml:space="preserve"> million to $</w:t>
      </w:r>
      <w:r>
        <w:rPr>
          <w:rFonts w:cs="Arial"/>
        </w:rPr>
        <w:t>187</w:t>
      </w:r>
      <w:r w:rsidRPr="006C40E7">
        <w:rPr>
          <w:rFonts w:cs="Arial"/>
        </w:rPr>
        <w:t xml:space="preserve"> million </w:t>
      </w:r>
      <w:r w:rsidRPr="00355C97">
        <w:rPr>
          <w:rFonts w:cs="Arial"/>
        </w:rPr>
        <w:t xml:space="preserve">due to a full year’s sales by the Paroo </w:t>
      </w:r>
      <w:r w:rsidRPr="006C40E7">
        <w:rPr>
          <w:rFonts w:cs="Arial"/>
        </w:rPr>
        <w:t xml:space="preserve">Station project.  Zinc output levels </w:t>
      </w:r>
      <w:r>
        <w:rPr>
          <w:rFonts w:cs="Arial"/>
        </w:rPr>
        <w:t>rose</w:t>
      </w:r>
      <w:r w:rsidRPr="006C40E7">
        <w:rPr>
          <w:rFonts w:cs="Arial"/>
        </w:rPr>
        <w:t xml:space="preserve"> by </w:t>
      </w:r>
      <w:r>
        <w:rPr>
          <w:rFonts w:cs="Arial"/>
        </w:rPr>
        <w:t>51</w:t>
      </w:r>
      <w:r w:rsidRPr="006C40E7">
        <w:rPr>
          <w:rFonts w:cs="Arial"/>
        </w:rPr>
        <w:t> per cent, with the total value of sales rising from $</w:t>
      </w:r>
      <w:r>
        <w:rPr>
          <w:rFonts w:cs="Arial"/>
        </w:rPr>
        <w:t>96</w:t>
      </w:r>
      <w:r w:rsidRPr="006C40E7">
        <w:rPr>
          <w:rFonts w:cs="Arial"/>
        </w:rPr>
        <w:t xml:space="preserve"> million in</w:t>
      </w:r>
      <w:r>
        <w:rPr>
          <w:rFonts w:cs="Arial"/>
        </w:rPr>
        <w:t> 2013</w:t>
      </w:r>
      <w:r w:rsidRPr="006C40E7">
        <w:rPr>
          <w:rFonts w:cs="Arial"/>
        </w:rPr>
        <w:t xml:space="preserve"> to $1</w:t>
      </w:r>
      <w:r>
        <w:rPr>
          <w:rFonts w:cs="Arial"/>
        </w:rPr>
        <w:t>73 million in 20</w:t>
      </w:r>
      <w:r w:rsidRPr="006C40E7">
        <w:rPr>
          <w:rFonts w:cs="Arial"/>
        </w:rPr>
        <w:t>14.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t xml:space="preserve">The </w:t>
      </w:r>
      <w:r w:rsidRPr="006C40E7">
        <w:rPr>
          <w:rFonts w:cs="Arial"/>
        </w:rPr>
        <w:t xml:space="preserve">total value of </w:t>
      </w:r>
      <w:r w:rsidRPr="006C40E7">
        <w:rPr>
          <w:rFonts w:cs="Arial"/>
          <w:b/>
        </w:rPr>
        <w:t>mineral sands</w:t>
      </w:r>
      <w:r w:rsidRPr="006C40E7">
        <w:rPr>
          <w:rFonts w:cs="Arial"/>
        </w:rPr>
        <w:t xml:space="preserve"> sales fell </w:t>
      </w:r>
      <w:r>
        <w:rPr>
          <w:rFonts w:cs="Arial"/>
        </w:rPr>
        <w:t>by 42</w:t>
      </w:r>
      <w:r w:rsidRPr="006C40E7">
        <w:rPr>
          <w:rFonts w:cs="Arial"/>
        </w:rPr>
        <w:t> per cent to $</w:t>
      </w:r>
      <w:r>
        <w:rPr>
          <w:rFonts w:cs="Arial"/>
        </w:rPr>
        <w:t>379</w:t>
      </w:r>
      <w:r w:rsidRPr="006C40E7">
        <w:rPr>
          <w:rFonts w:cs="Arial"/>
        </w:rPr>
        <w:t xml:space="preserve"> million. Sales revenues were impacted by </w:t>
      </w:r>
      <w:r>
        <w:rPr>
          <w:rFonts w:cs="Arial"/>
        </w:rPr>
        <w:t>sharp falls in</w:t>
      </w:r>
      <w:r w:rsidRPr="006C40E7">
        <w:rPr>
          <w:rFonts w:cs="Arial"/>
        </w:rPr>
        <w:t xml:space="preserve"> tonnages due to weakening </w:t>
      </w:r>
      <w:r>
        <w:rPr>
          <w:rFonts w:cs="Arial"/>
        </w:rPr>
        <w:t>demand</w:t>
      </w:r>
      <w:r w:rsidRPr="006C40E7">
        <w:rPr>
          <w:rFonts w:cs="Arial"/>
        </w:rPr>
        <w:t xml:space="preserve"> for these products.   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t xml:space="preserve">The value of </w:t>
      </w:r>
      <w:r w:rsidRPr="00355C97">
        <w:rPr>
          <w:rFonts w:cs="Arial"/>
          <w:b/>
        </w:rPr>
        <w:t>salt</w:t>
      </w:r>
      <w:r w:rsidRPr="00355C97">
        <w:rPr>
          <w:rFonts w:cs="Arial"/>
        </w:rPr>
        <w:t xml:space="preserve"> </w:t>
      </w:r>
      <w:r w:rsidRPr="006C40E7">
        <w:rPr>
          <w:rFonts w:cs="Arial"/>
        </w:rPr>
        <w:t xml:space="preserve">sales rose by </w:t>
      </w:r>
      <w:r>
        <w:rPr>
          <w:rFonts w:cs="Arial"/>
        </w:rPr>
        <w:t>one</w:t>
      </w:r>
      <w:r w:rsidRPr="006C40E7">
        <w:rPr>
          <w:rFonts w:cs="Arial"/>
        </w:rPr>
        <w:t> per </w:t>
      </w:r>
      <w:r w:rsidRPr="00355C97">
        <w:rPr>
          <w:rFonts w:cs="Arial"/>
        </w:rPr>
        <w:t xml:space="preserve">cent </w:t>
      </w:r>
      <w:r w:rsidRPr="00172194">
        <w:rPr>
          <w:rFonts w:cs="Arial"/>
        </w:rPr>
        <w:t>to $41</w:t>
      </w:r>
      <w:r>
        <w:rPr>
          <w:rFonts w:cs="Arial"/>
        </w:rPr>
        <w:t>9</w:t>
      </w:r>
      <w:r w:rsidRPr="00172194">
        <w:rPr>
          <w:rFonts w:cs="Arial"/>
        </w:rPr>
        <w:t xml:space="preserve"> million </w:t>
      </w:r>
      <w:r>
        <w:rPr>
          <w:rFonts w:cs="Arial"/>
        </w:rPr>
        <w:t>in 20</w:t>
      </w:r>
      <w:r w:rsidRPr="00355C97">
        <w:rPr>
          <w:rFonts w:cs="Arial"/>
        </w:rPr>
        <w:t xml:space="preserve">14 while volumes </w:t>
      </w:r>
      <w:r>
        <w:rPr>
          <w:rFonts w:cs="Arial"/>
        </w:rPr>
        <w:t>remained flat at</w:t>
      </w:r>
      <w:r w:rsidRPr="00355C97">
        <w:rPr>
          <w:rFonts w:cs="Arial"/>
        </w:rPr>
        <w:t xml:space="preserve"> </w:t>
      </w:r>
      <w:r>
        <w:rPr>
          <w:rFonts w:cs="Arial"/>
        </w:rPr>
        <w:t>13</w:t>
      </w:r>
      <w:r w:rsidRPr="00355C97">
        <w:rPr>
          <w:rFonts w:cs="Arial"/>
          <w:color w:val="FF0000"/>
        </w:rPr>
        <w:t> </w:t>
      </w:r>
      <w:r w:rsidRPr="00355C97">
        <w:rPr>
          <w:rFonts w:cs="Arial"/>
        </w:rPr>
        <w:t>million tonnes.</w:t>
      </w:r>
    </w:p>
    <w:p w:rsidR="00147CF3" w:rsidRPr="00355C97" w:rsidRDefault="00147CF3" w:rsidP="00147CF3">
      <w:pPr>
        <w:spacing w:after="120"/>
        <w:rPr>
          <w:rFonts w:cs="Arial"/>
        </w:rPr>
      </w:pPr>
      <w:r>
        <w:rPr>
          <w:rFonts w:cs="Arial"/>
        </w:rPr>
        <w:t>In 20</w:t>
      </w:r>
      <w:r w:rsidRPr="00355C97">
        <w:rPr>
          <w:rFonts w:cs="Arial"/>
        </w:rPr>
        <w:t xml:space="preserve">14, </w:t>
      </w:r>
      <w:r w:rsidRPr="00355C97">
        <w:rPr>
          <w:rFonts w:cs="Arial"/>
          <w:b/>
        </w:rPr>
        <w:t>Diamond</w:t>
      </w:r>
      <w:r w:rsidRPr="00355C97">
        <w:rPr>
          <w:rFonts w:cs="Arial"/>
        </w:rPr>
        <w:t xml:space="preserve"> sales volumes </w:t>
      </w:r>
      <w:r>
        <w:rPr>
          <w:rFonts w:cs="Arial"/>
        </w:rPr>
        <w:t>were flat at</w:t>
      </w:r>
      <w:r w:rsidRPr="00355C97">
        <w:rPr>
          <w:rFonts w:cs="Arial"/>
        </w:rPr>
        <w:t xml:space="preserve"> </w:t>
      </w:r>
      <w:r>
        <w:rPr>
          <w:rFonts w:cs="Arial"/>
        </w:rPr>
        <w:t>10</w:t>
      </w:r>
      <w:r w:rsidRPr="002E2ACA">
        <w:rPr>
          <w:rFonts w:cs="Arial"/>
        </w:rPr>
        <w:t>.6 m</w:t>
      </w:r>
      <w:r w:rsidRPr="00355C97">
        <w:rPr>
          <w:rFonts w:cs="Arial"/>
        </w:rPr>
        <w:t xml:space="preserve">illion carats. 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  <w:b/>
        </w:rPr>
        <w:t>Coal</w:t>
      </w:r>
      <w:r>
        <w:rPr>
          <w:rFonts w:cs="Arial"/>
        </w:rPr>
        <w:t xml:space="preserve"> prices remained static</w:t>
      </w:r>
      <w:r w:rsidRPr="00355C97">
        <w:rPr>
          <w:rFonts w:cs="Arial"/>
        </w:rPr>
        <w:t xml:space="preserve"> whilst output </w:t>
      </w:r>
      <w:r>
        <w:rPr>
          <w:rFonts w:cs="Arial"/>
        </w:rPr>
        <w:t>was lower by 12</w:t>
      </w:r>
      <w:r w:rsidRPr="002E2ACA">
        <w:rPr>
          <w:rFonts w:cs="Arial"/>
        </w:rPr>
        <w:t xml:space="preserve"> per cent </w:t>
      </w:r>
      <w:r>
        <w:rPr>
          <w:rFonts w:cs="Arial"/>
        </w:rPr>
        <w:t>totalling</w:t>
      </w:r>
      <w:r w:rsidRPr="002E2ACA">
        <w:rPr>
          <w:rFonts w:cs="Arial"/>
        </w:rPr>
        <w:t xml:space="preserve"> 6.</w:t>
      </w:r>
      <w:r>
        <w:rPr>
          <w:rFonts w:cs="Arial"/>
        </w:rPr>
        <w:t>2</w:t>
      </w:r>
      <w:r w:rsidRPr="002E2ACA">
        <w:rPr>
          <w:rFonts w:cs="Arial"/>
        </w:rPr>
        <w:t xml:space="preserve"> million tonnes </w:t>
      </w:r>
      <w:r>
        <w:rPr>
          <w:rFonts w:cs="Arial"/>
        </w:rPr>
        <w:t>valued at</w:t>
      </w:r>
      <w:r w:rsidRPr="002E2ACA">
        <w:rPr>
          <w:rFonts w:cs="Arial"/>
        </w:rPr>
        <w:t xml:space="preserve"> $26</w:t>
      </w:r>
      <w:r>
        <w:rPr>
          <w:rFonts w:cs="Arial"/>
        </w:rPr>
        <w:t>8 million</w:t>
      </w:r>
      <w:r w:rsidRPr="00355C97">
        <w:rPr>
          <w:rFonts w:cs="Arial"/>
        </w:rPr>
        <w:t xml:space="preserve">.  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lastRenderedPageBreak/>
        <w:t xml:space="preserve">Output for </w:t>
      </w:r>
      <w:r w:rsidRPr="00355C97">
        <w:rPr>
          <w:rFonts w:cs="Arial"/>
          <w:b/>
        </w:rPr>
        <w:t>cobalt</w:t>
      </w:r>
      <w:r w:rsidRPr="00355C97">
        <w:rPr>
          <w:rFonts w:cs="Arial"/>
        </w:rPr>
        <w:t xml:space="preserve">, as a by-product of nickel </w:t>
      </w:r>
      <w:r w:rsidRPr="00AB709A">
        <w:rPr>
          <w:rFonts w:cs="Arial"/>
        </w:rPr>
        <w:t xml:space="preserve">mining, fell by </w:t>
      </w:r>
      <w:r>
        <w:rPr>
          <w:rFonts w:cs="Arial"/>
        </w:rPr>
        <w:t>seven</w:t>
      </w:r>
      <w:r w:rsidRPr="00AB709A">
        <w:rPr>
          <w:rFonts w:cs="Arial"/>
        </w:rPr>
        <w:t xml:space="preserve"> per cent </w:t>
      </w:r>
      <w:r w:rsidRPr="00355C97">
        <w:rPr>
          <w:rFonts w:cs="Arial"/>
        </w:rPr>
        <w:t xml:space="preserve">to </w:t>
      </w:r>
      <w:r>
        <w:rPr>
          <w:rFonts w:cs="Arial"/>
        </w:rPr>
        <w:t xml:space="preserve">5,978 tonnes, however </w:t>
      </w:r>
      <w:r w:rsidRPr="00AB709A">
        <w:rPr>
          <w:rFonts w:cs="Arial"/>
        </w:rPr>
        <w:t xml:space="preserve">higher prices </w:t>
      </w:r>
      <w:r w:rsidRPr="00355C97">
        <w:rPr>
          <w:rFonts w:cs="Arial"/>
        </w:rPr>
        <w:t xml:space="preserve">translated </w:t>
      </w:r>
      <w:r w:rsidRPr="00AB709A">
        <w:rPr>
          <w:rFonts w:cs="Arial"/>
        </w:rPr>
        <w:t xml:space="preserve">into a </w:t>
      </w:r>
      <w:r>
        <w:rPr>
          <w:rFonts w:cs="Arial"/>
        </w:rPr>
        <w:t>15</w:t>
      </w:r>
      <w:r w:rsidRPr="00AB709A">
        <w:rPr>
          <w:rFonts w:cs="Arial"/>
        </w:rPr>
        <w:t xml:space="preserve"> per cent increase </w:t>
      </w:r>
      <w:r w:rsidRPr="00355C97">
        <w:rPr>
          <w:rFonts w:cs="Arial"/>
        </w:rPr>
        <w:t xml:space="preserve">in sales value which </w:t>
      </w:r>
      <w:r w:rsidRPr="00AB709A">
        <w:rPr>
          <w:rFonts w:cs="Arial"/>
        </w:rPr>
        <w:t>reached $1</w:t>
      </w:r>
      <w:r>
        <w:rPr>
          <w:rFonts w:cs="Arial"/>
        </w:rPr>
        <w:t>97</w:t>
      </w:r>
      <w:r w:rsidRPr="00AB709A">
        <w:rPr>
          <w:rFonts w:cs="Arial"/>
        </w:rPr>
        <w:t xml:space="preserve"> </w:t>
      </w:r>
      <w:r w:rsidRPr="00355C97">
        <w:rPr>
          <w:rFonts w:cs="Arial"/>
        </w:rPr>
        <w:t>million.</w:t>
      </w:r>
    </w:p>
    <w:p w:rsidR="00147CF3" w:rsidRPr="00355C97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355C97">
        <w:rPr>
          <w:rFonts w:cs="Arial"/>
          <w:b/>
        </w:rPr>
        <w:t>Petroleum</w:t>
      </w:r>
      <w:r w:rsidRPr="00355C97">
        <w:rPr>
          <w:rFonts w:cs="Arial"/>
        </w:rPr>
        <w:t xml:space="preserve">, which includes crude oil, condensate, LNG, natural gas and LPG (butane and </w:t>
      </w:r>
      <w:proofErr w:type="gramStart"/>
      <w:r w:rsidRPr="00355C97">
        <w:rPr>
          <w:rFonts w:cs="Arial"/>
        </w:rPr>
        <w:t>propane)</w:t>
      </w:r>
      <w:proofErr w:type="gramEnd"/>
      <w:r w:rsidRPr="00355C97">
        <w:rPr>
          <w:rFonts w:cs="Arial"/>
        </w:rPr>
        <w:t xml:space="preserve"> was valued at </w:t>
      </w:r>
      <w:r w:rsidRPr="002D1893">
        <w:rPr>
          <w:rFonts w:cs="Arial"/>
        </w:rPr>
        <w:t>a record $2</w:t>
      </w:r>
      <w:r>
        <w:rPr>
          <w:rFonts w:cs="Arial"/>
        </w:rPr>
        <w:t>7</w:t>
      </w:r>
      <w:r w:rsidRPr="002D1893">
        <w:rPr>
          <w:rFonts w:cs="Arial"/>
        </w:rPr>
        <w:t>.</w:t>
      </w:r>
      <w:r>
        <w:rPr>
          <w:rFonts w:cs="Arial"/>
        </w:rPr>
        <w:t>6</w:t>
      </w:r>
      <w:r w:rsidRPr="002D1893">
        <w:rPr>
          <w:rFonts w:cs="Arial"/>
        </w:rPr>
        <w:t>billion</w:t>
      </w:r>
      <w:r>
        <w:rPr>
          <w:rFonts w:cs="Arial"/>
        </w:rPr>
        <w:t>, an increase of 12 per cent</w:t>
      </w:r>
      <w:r w:rsidRPr="00830F5E">
        <w:rPr>
          <w:rFonts w:cs="Arial"/>
        </w:rPr>
        <w:t xml:space="preserve">.  </w:t>
      </w:r>
    </w:p>
    <w:p w:rsidR="00147CF3" w:rsidRPr="00355C97" w:rsidRDefault="00147CF3" w:rsidP="00147CF3">
      <w:pPr>
        <w:autoSpaceDE w:val="0"/>
        <w:autoSpaceDN w:val="0"/>
        <w:adjustRightInd w:val="0"/>
        <w:spacing w:after="120"/>
        <w:rPr>
          <w:rFonts w:cs="Arial"/>
        </w:rPr>
      </w:pPr>
      <w:r w:rsidRPr="00355C97">
        <w:rPr>
          <w:rFonts w:cs="Arial"/>
          <w:b/>
        </w:rPr>
        <w:t>LNG</w:t>
      </w:r>
      <w:r w:rsidRPr="00355C97">
        <w:rPr>
          <w:rFonts w:cs="Arial"/>
        </w:rPr>
        <w:t xml:space="preserve"> was the most valuable petrole</w:t>
      </w:r>
      <w:r>
        <w:rPr>
          <w:rFonts w:cs="Arial"/>
        </w:rPr>
        <w:t>um product in the State in 20</w:t>
      </w:r>
      <w:r w:rsidRPr="00355C97">
        <w:rPr>
          <w:rFonts w:cs="Arial"/>
        </w:rPr>
        <w:t xml:space="preserve">14 with output increasing </w:t>
      </w:r>
      <w:r>
        <w:rPr>
          <w:rFonts w:cs="Arial"/>
        </w:rPr>
        <w:t xml:space="preserve">by 10 per cent </w:t>
      </w:r>
      <w:r w:rsidRPr="00355C97">
        <w:rPr>
          <w:rFonts w:cs="Arial"/>
        </w:rPr>
        <w:t xml:space="preserve">to </w:t>
      </w:r>
      <w:r w:rsidRPr="00775273">
        <w:rPr>
          <w:rFonts w:cs="Arial"/>
        </w:rPr>
        <w:t>reach a record 2</w:t>
      </w:r>
      <w:r>
        <w:rPr>
          <w:rFonts w:cs="Arial"/>
        </w:rPr>
        <w:t>1</w:t>
      </w:r>
      <w:r w:rsidRPr="00775273">
        <w:rPr>
          <w:rFonts w:cs="Arial"/>
        </w:rPr>
        <w:t xml:space="preserve"> million </w:t>
      </w:r>
      <w:r>
        <w:rPr>
          <w:rFonts w:cs="Arial"/>
        </w:rPr>
        <w:t>tonnes.  The s</w:t>
      </w:r>
      <w:r w:rsidRPr="00775273">
        <w:rPr>
          <w:rFonts w:cs="Arial"/>
        </w:rPr>
        <w:t xml:space="preserve">ales </w:t>
      </w:r>
      <w:r>
        <w:rPr>
          <w:rFonts w:cs="Arial"/>
        </w:rPr>
        <w:t xml:space="preserve">value of LNG </w:t>
      </w:r>
      <w:r w:rsidRPr="00775273">
        <w:rPr>
          <w:rFonts w:cs="Arial"/>
        </w:rPr>
        <w:t xml:space="preserve">increased by </w:t>
      </w:r>
      <w:r>
        <w:rPr>
          <w:rFonts w:cs="Arial"/>
        </w:rPr>
        <w:t>18</w:t>
      </w:r>
      <w:r w:rsidRPr="00775273">
        <w:rPr>
          <w:rFonts w:cs="Arial"/>
        </w:rPr>
        <w:t xml:space="preserve"> per cent to </w:t>
      </w:r>
      <w:r>
        <w:rPr>
          <w:rFonts w:cs="Arial"/>
        </w:rPr>
        <w:t xml:space="preserve">reach </w:t>
      </w:r>
      <w:r w:rsidRPr="00775273">
        <w:rPr>
          <w:rFonts w:cs="Arial"/>
        </w:rPr>
        <w:t>a record $1</w:t>
      </w:r>
      <w:r>
        <w:rPr>
          <w:rFonts w:cs="Arial"/>
        </w:rPr>
        <w:t>5.6</w:t>
      </w:r>
      <w:r w:rsidRPr="00775273">
        <w:rPr>
          <w:rFonts w:cs="Arial"/>
        </w:rPr>
        <w:t xml:space="preserve"> billion.  LNG </w:t>
      </w:r>
      <w:r w:rsidRPr="00355C97">
        <w:rPr>
          <w:rFonts w:cs="Arial"/>
        </w:rPr>
        <w:t xml:space="preserve">production is forecast to grow </w:t>
      </w:r>
      <w:r>
        <w:rPr>
          <w:rFonts w:cs="Arial"/>
        </w:rPr>
        <w:t xml:space="preserve">further with </w:t>
      </w:r>
      <w:r w:rsidRPr="00355C97">
        <w:rPr>
          <w:rFonts w:cs="Arial"/>
        </w:rPr>
        <w:t xml:space="preserve">supply from new projects </w:t>
      </w:r>
      <w:r>
        <w:rPr>
          <w:rFonts w:cs="Arial"/>
        </w:rPr>
        <w:t xml:space="preserve">coming on stream </w:t>
      </w:r>
      <w:r w:rsidRPr="00355C97">
        <w:rPr>
          <w:rFonts w:cs="Arial"/>
        </w:rPr>
        <w:t>including Gorgon and Wheatstone.</w:t>
      </w:r>
    </w:p>
    <w:p w:rsidR="00147CF3" w:rsidRPr="00355C97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t xml:space="preserve">Production of </w:t>
      </w:r>
      <w:r w:rsidRPr="00355C97">
        <w:rPr>
          <w:rFonts w:cs="Arial"/>
          <w:b/>
        </w:rPr>
        <w:t>crude oil</w:t>
      </w:r>
      <w:r w:rsidRPr="00355C97">
        <w:rPr>
          <w:rFonts w:cs="Arial"/>
        </w:rPr>
        <w:t>, the second most val</w:t>
      </w:r>
      <w:r>
        <w:rPr>
          <w:rFonts w:cs="Arial"/>
        </w:rPr>
        <w:t>uable petroleum product in 20</w:t>
      </w:r>
      <w:r w:rsidRPr="00355C97">
        <w:rPr>
          <w:rFonts w:cs="Arial"/>
        </w:rPr>
        <w:t xml:space="preserve">14, </w:t>
      </w:r>
      <w:r>
        <w:rPr>
          <w:rFonts w:cs="Arial"/>
        </w:rPr>
        <w:t>rose</w:t>
      </w:r>
      <w:r w:rsidRPr="00830F5E">
        <w:rPr>
          <w:rFonts w:cs="Arial"/>
        </w:rPr>
        <w:t xml:space="preserve"> by </w:t>
      </w:r>
      <w:r>
        <w:rPr>
          <w:rFonts w:cs="Arial"/>
        </w:rPr>
        <w:t>16</w:t>
      </w:r>
      <w:r w:rsidRPr="00830F5E">
        <w:rPr>
          <w:rFonts w:cs="Arial"/>
        </w:rPr>
        <w:t xml:space="preserve"> </w:t>
      </w:r>
      <w:r w:rsidRPr="00355C97">
        <w:rPr>
          <w:rFonts w:cs="Arial"/>
        </w:rPr>
        <w:t xml:space="preserve">per cent to </w:t>
      </w:r>
      <w:r>
        <w:rPr>
          <w:rFonts w:cs="Arial"/>
        </w:rPr>
        <w:t>50</w:t>
      </w:r>
      <w:r w:rsidRPr="00355C97">
        <w:rPr>
          <w:rFonts w:cs="Arial"/>
          <w:color w:val="FF0000"/>
        </w:rPr>
        <w:t xml:space="preserve"> </w:t>
      </w:r>
      <w:r w:rsidRPr="00355C97">
        <w:rPr>
          <w:rFonts w:cs="Arial"/>
        </w:rPr>
        <w:t xml:space="preserve">million barrels, with sales values </w:t>
      </w:r>
      <w:r>
        <w:rPr>
          <w:rFonts w:cs="Arial"/>
        </w:rPr>
        <w:t>rising</w:t>
      </w:r>
      <w:r w:rsidRPr="00355C97">
        <w:rPr>
          <w:rFonts w:cs="Arial"/>
          <w:color w:val="FF0000"/>
        </w:rPr>
        <w:t xml:space="preserve"> </w:t>
      </w:r>
      <w:r w:rsidRPr="00830F5E">
        <w:rPr>
          <w:rFonts w:cs="Arial"/>
        </w:rPr>
        <w:t>to $5.</w:t>
      </w:r>
      <w:r>
        <w:rPr>
          <w:rFonts w:cs="Arial"/>
        </w:rPr>
        <w:t>6 billion.</w:t>
      </w:r>
    </w:p>
    <w:p w:rsidR="00147CF3" w:rsidRPr="00355C97" w:rsidRDefault="00147CF3" w:rsidP="00147CF3">
      <w:pPr>
        <w:spacing w:after="120"/>
        <w:rPr>
          <w:rFonts w:cs="Arial"/>
        </w:rPr>
      </w:pPr>
      <w:r>
        <w:rPr>
          <w:rFonts w:cs="Arial"/>
        </w:rPr>
        <w:t>During the period, t</w:t>
      </w:r>
      <w:r w:rsidRPr="00355C97">
        <w:rPr>
          <w:rFonts w:cs="Arial"/>
        </w:rPr>
        <w:t xml:space="preserve">he value of </w:t>
      </w:r>
      <w:r w:rsidRPr="00A73503">
        <w:rPr>
          <w:rFonts w:cs="Arial"/>
          <w:b/>
        </w:rPr>
        <w:t>condensate</w:t>
      </w:r>
      <w:r w:rsidRPr="00A73503">
        <w:rPr>
          <w:rFonts w:cs="Arial"/>
        </w:rPr>
        <w:t xml:space="preserve"> </w:t>
      </w:r>
      <w:r>
        <w:rPr>
          <w:rFonts w:cs="Arial"/>
        </w:rPr>
        <w:t>fell</w:t>
      </w:r>
      <w:r w:rsidRPr="00A73503">
        <w:rPr>
          <w:rFonts w:cs="Arial"/>
        </w:rPr>
        <w:t xml:space="preserve"> by </w:t>
      </w:r>
      <w:r>
        <w:rPr>
          <w:rFonts w:cs="Arial"/>
        </w:rPr>
        <w:t>four</w:t>
      </w:r>
      <w:r w:rsidRPr="00A73503">
        <w:rPr>
          <w:rFonts w:cs="Arial"/>
        </w:rPr>
        <w:t xml:space="preserve"> per cent to $</w:t>
      </w:r>
      <w:r>
        <w:rPr>
          <w:rFonts w:cs="Arial"/>
        </w:rPr>
        <w:t>3.9</w:t>
      </w:r>
      <w:r w:rsidRPr="00A73503">
        <w:rPr>
          <w:rFonts w:cs="Arial"/>
        </w:rPr>
        <w:t xml:space="preserve"> billion</w:t>
      </w:r>
      <w:r>
        <w:rPr>
          <w:rFonts w:cs="Arial"/>
        </w:rPr>
        <w:t xml:space="preserve"> whilst</w:t>
      </w:r>
      <w:r w:rsidRPr="00355C97">
        <w:rPr>
          <w:rFonts w:cs="Arial"/>
        </w:rPr>
        <w:t xml:space="preserve"> </w:t>
      </w:r>
      <w:r w:rsidRPr="00A73503">
        <w:rPr>
          <w:rFonts w:cs="Arial"/>
        </w:rPr>
        <w:t xml:space="preserve">output </w:t>
      </w:r>
      <w:r>
        <w:rPr>
          <w:rFonts w:cs="Arial"/>
        </w:rPr>
        <w:t>was up</w:t>
      </w:r>
      <w:r w:rsidRPr="00A73503">
        <w:rPr>
          <w:rFonts w:cs="Arial"/>
        </w:rPr>
        <w:t xml:space="preserve"> </w:t>
      </w:r>
      <w:r>
        <w:rPr>
          <w:rFonts w:cs="Arial"/>
        </w:rPr>
        <w:t>two</w:t>
      </w:r>
      <w:r w:rsidRPr="00A73503">
        <w:rPr>
          <w:rFonts w:cs="Arial"/>
        </w:rPr>
        <w:t xml:space="preserve"> per cent </w:t>
      </w:r>
      <w:r w:rsidRPr="00355C97">
        <w:rPr>
          <w:rFonts w:cs="Arial"/>
        </w:rPr>
        <w:t xml:space="preserve">to </w:t>
      </w:r>
      <w:r>
        <w:rPr>
          <w:rFonts w:cs="Arial"/>
        </w:rPr>
        <w:t>38</w:t>
      </w:r>
      <w:r w:rsidRPr="00355C97">
        <w:rPr>
          <w:rFonts w:cs="Arial"/>
          <w:color w:val="FF0000"/>
        </w:rPr>
        <w:t xml:space="preserve"> </w:t>
      </w:r>
      <w:r w:rsidRPr="00355C97">
        <w:rPr>
          <w:rFonts w:cs="Arial"/>
        </w:rPr>
        <w:t xml:space="preserve">million barrels.  </w:t>
      </w:r>
    </w:p>
    <w:p w:rsidR="00147CF3" w:rsidRPr="00355C97" w:rsidRDefault="00147CF3" w:rsidP="00147CF3">
      <w:pPr>
        <w:spacing w:after="120"/>
        <w:rPr>
          <w:rFonts w:cs="Arial"/>
        </w:rPr>
      </w:pPr>
      <w:r>
        <w:rPr>
          <w:rFonts w:cs="Arial"/>
        </w:rPr>
        <w:t>In 20</w:t>
      </w:r>
      <w:r w:rsidRPr="00355C97">
        <w:rPr>
          <w:rFonts w:cs="Arial"/>
        </w:rPr>
        <w:t xml:space="preserve">14 domestic </w:t>
      </w:r>
      <w:r w:rsidRPr="00355C97">
        <w:rPr>
          <w:rFonts w:cs="Arial"/>
          <w:b/>
        </w:rPr>
        <w:t>natural gas</w:t>
      </w:r>
      <w:r w:rsidRPr="00355C97">
        <w:rPr>
          <w:rFonts w:cs="Arial"/>
        </w:rPr>
        <w:t xml:space="preserve"> sales </w:t>
      </w:r>
      <w:r w:rsidRPr="00A73503">
        <w:rPr>
          <w:rFonts w:cs="Arial"/>
        </w:rPr>
        <w:t xml:space="preserve">increased by </w:t>
      </w:r>
      <w:r>
        <w:rPr>
          <w:rFonts w:cs="Arial"/>
        </w:rPr>
        <w:t xml:space="preserve">three </w:t>
      </w:r>
      <w:r w:rsidRPr="00355C97">
        <w:rPr>
          <w:rFonts w:cs="Arial"/>
        </w:rPr>
        <w:t xml:space="preserve">per cent to </w:t>
      </w:r>
      <w:r w:rsidRPr="00A73503">
        <w:rPr>
          <w:rFonts w:cs="Arial"/>
        </w:rPr>
        <w:t>9.</w:t>
      </w:r>
      <w:r>
        <w:rPr>
          <w:rFonts w:cs="Arial"/>
        </w:rPr>
        <w:t>6</w:t>
      </w:r>
      <w:r w:rsidRPr="00A73503">
        <w:rPr>
          <w:rFonts w:cs="Arial"/>
        </w:rPr>
        <w:t> billion </w:t>
      </w:r>
      <w:r w:rsidRPr="00355C97">
        <w:rPr>
          <w:rFonts w:cs="Arial"/>
        </w:rPr>
        <w:t xml:space="preserve">cubic metres while the value of sales </w:t>
      </w:r>
      <w:r>
        <w:rPr>
          <w:rFonts w:cs="Arial"/>
        </w:rPr>
        <w:t xml:space="preserve">rose by 15 per cent to </w:t>
      </w:r>
      <w:r w:rsidRPr="00A73503">
        <w:rPr>
          <w:rFonts w:cs="Arial"/>
        </w:rPr>
        <w:t>$1.</w:t>
      </w:r>
      <w:r>
        <w:rPr>
          <w:rFonts w:cs="Arial"/>
        </w:rPr>
        <w:t>8</w:t>
      </w:r>
      <w:r w:rsidRPr="00A73503">
        <w:rPr>
          <w:rFonts w:cs="Arial"/>
        </w:rPr>
        <w:t> billion</w:t>
      </w:r>
      <w:r w:rsidRPr="00355C97">
        <w:rPr>
          <w:rFonts w:cs="Arial"/>
        </w:rPr>
        <w:t xml:space="preserve">.  Output of </w:t>
      </w:r>
      <w:r w:rsidRPr="00355C97">
        <w:rPr>
          <w:rFonts w:cs="Arial"/>
          <w:b/>
        </w:rPr>
        <w:t>LPG (butane and propane)</w:t>
      </w:r>
      <w:r w:rsidRPr="00355C97">
        <w:rPr>
          <w:rFonts w:cs="Arial"/>
        </w:rPr>
        <w:t xml:space="preserve"> </w:t>
      </w:r>
      <w:r w:rsidRPr="00A73503">
        <w:rPr>
          <w:rFonts w:cs="Arial"/>
        </w:rPr>
        <w:t xml:space="preserve">decreased by </w:t>
      </w:r>
      <w:r>
        <w:rPr>
          <w:rFonts w:cs="Arial"/>
        </w:rPr>
        <w:t>15</w:t>
      </w:r>
      <w:r w:rsidRPr="00A73503">
        <w:rPr>
          <w:rFonts w:cs="Arial"/>
        </w:rPr>
        <w:t> per cent with the sales value also decreasing to $</w:t>
      </w:r>
      <w:r>
        <w:rPr>
          <w:rFonts w:cs="Arial"/>
        </w:rPr>
        <w:t>532</w:t>
      </w:r>
      <w:r w:rsidRPr="00A73503">
        <w:rPr>
          <w:rFonts w:cs="Arial"/>
        </w:rPr>
        <w:t xml:space="preserve"> million, down </w:t>
      </w:r>
      <w:r>
        <w:rPr>
          <w:rFonts w:cs="Arial"/>
        </w:rPr>
        <w:t>11</w:t>
      </w:r>
      <w:r w:rsidRPr="00A73503">
        <w:rPr>
          <w:rFonts w:cs="Arial"/>
        </w:rPr>
        <w:t> per cent on the previous financial year.</w:t>
      </w:r>
    </w:p>
    <w:tbl>
      <w:tblPr>
        <w:tblpPr w:leftFromText="180" w:rightFromText="180" w:vertAnchor="text" w:horzAnchor="margin" w:tblpXSpec="center" w:tblpY="1186"/>
        <w:tblW w:w="2922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2"/>
        <w:gridCol w:w="30"/>
        <w:gridCol w:w="1655"/>
      </w:tblGrid>
      <w:tr w:rsidR="00147CF3" w:rsidRPr="00355C97" w:rsidTr="00C220EE">
        <w:trPr>
          <w:trHeight w:val="652"/>
          <w:tblCellSpacing w:w="15" w:type="dxa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355C97">
              <w:rPr>
                <w:rFonts w:cs="Arial"/>
                <w:b/>
                <w:bCs/>
                <w:sz w:val="23"/>
                <w:szCs w:val="23"/>
              </w:rPr>
              <w:t>Commodity</w: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355C97">
              <w:rPr>
                <w:rFonts w:cs="Arial"/>
                <w:b/>
                <w:bCs/>
                <w:sz w:val="23"/>
                <w:szCs w:val="23"/>
              </w:rPr>
              <w:t>A</w:t>
            </w:r>
            <w:r w:rsidR="00C220EE">
              <w:rPr>
                <w:rFonts w:cs="Arial"/>
                <w:b/>
                <w:bCs/>
                <w:sz w:val="23"/>
                <w:szCs w:val="23"/>
              </w:rPr>
              <w:t>$</w:t>
            </w:r>
            <w:r w:rsidRPr="00355C97">
              <w:rPr>
                <w:rFonts w:cs="Arial"/>
                <w:b/>
                <w:bCs/>
                <w:sz w:val="23"/>
                <w:szCs w:val="23"/>
              </w:rPr>
              <w:t xml:space="preserve"> Billion </w:t>
            </w:r>
          </w:p>
        </w:tc>
      </w:tr>
      <w:tr w:rsidR="00147CF3" w:rsidRPr="00355C97" w:rsidTr="00C220EE">
        <w:trPr>
          <w:trHeight w:val="37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sz w:val="23"/>
                <w:szCs w:val="23"/>
              </w:rPr>
              <w:t>Iron Ore</w: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6608BB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65.1</w:t>
            </w:r>
          </w:p>
        </w:tc>
      </w:tr>
      <w:tr w:rsidR="00147CF3" w:rsidRPr="00355C97" w:rsidTr="00C220EE">
        <w:trPr>
          <w:trHeight w:val="3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sz w:val="23"/>
                <w:szCs w:val="23"/>
              </w:rPr>
              <w:t>LNG</w: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7CF3" w:rsidRPr="006608BB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15.6</w:t>
            </w:r>
          </w:p>
        </w:tc>
      </w:tr>
      <w:tr w:rsidR="00147CF3" w:rsidRPr="00355C97" w:rsidTr="00C220EE">
        <w:trPr>
          <w:cantSplit/>
          <w:trHeight w:val="2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sz w:val="23"/>
                <w:szCs w:val="23"/>
              </w:rPr>
              <w:t>Crude Oil and Condensate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color w:val="FF0000"/>
                <w:sz w:val="23"/>
                <w:szCs w:val="23"/>
              </w:rPr>
            </w:pPr>
            <w:r w:rsidRPr="00A73503">
              <w:rPr>
                <w:rFonts w:cs="Arial"/>
                <w:sz w:val="23"/>
                <w:szCs w:val="23"/>
              </w:rPr>
              <w:t>9.</w:t>
            </w:r>
            <w:r>
              <w:rPr>
                <w:rFonts w:cs="Arial"/>
                <w:sz w:val="23"/>
                <w:szCs w:val="23"/>
              </w:rPr>
              <w:t>5</w:t>
            </w:r>
          </w:p>
        </w:tc>
      </w:tr>
      <w:tr w:rsidR="00147CF3" w:rsidRPr="00355C97" w:rsidTr="00C220EE">
        <w:trPr>
          <w:cantSplit/>
          <w:trHeight w:val="2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sz w:val="23"/>
                <w:szCs w:val="23"/>
              </w:rPr>
              <w:t>Gold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6608BB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8.7</w:t>
            </w:r>
          </w:p>
        </w:tc>
      </w:tr>
      <w:tr w:rsidR="00147CF3" w:rsidRPr="00355C97" w:rsidTr="00C220EE">
        <w:trPr>
          <w:trHeight w:val="37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sz w:val="23"/>
                <w:szCs w:val="23"/>
              </w:rPr>
              <w:t>Alumina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6608BB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4.6</w:t>
            </w:r>
          </w:p>
        </w:tc>
      </w:tr>
      <w:tr w:rsidR="00147CF3" w:rsidRPr="00355C97" w:rsidTr="00C220EE">
        <w:trPr>
          <w:trHeight w:val="38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A73503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A73503">
              <w:rPr>
                <w:rFonts w:cs="Arial"/>
                <w:sz w:val="23"/>
                <w:szCs w:val="23"/>
              </w:rPr>
              <w:t>Nickel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A73503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3.6</w:t>
            </w:r>
          </w:p>
        </w:tc>
      </w:tr>
      <w:tr w:rsidR="00147CF3" w:rsidRPr="00355C97" w:rsidTr="00C220EE">
        <w:trPr>
          <w:trHeight w:val="38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A73503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A73503">
              <w:rPr>
                <w:rFonts w:cs="Arial"/>
                <w:sz w:val="23"/>
                <w:szCs w:val="23"/>
              </w:rPr>
              <w:t>Others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A73503" w:rsidRDefault="008B1E88" w:rsidP="008B1E88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</w:t>
            </w:r>
            <w:r w:rsidR="00147CF3">
              <w:rPr>
                <w:rFonts w:cs="Arial"/>
                <w:sz w:val="23"/>
                <w:szCs w:val="23"/>
              </w:rPr>
              <w:t>.</w:t>
            </w:r>
            <w:r>
              <w:rPr>
                <w:rFonts w:cs="Arial"/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147CF3" w:rsidRPr="00355C97" w:rsidTr="00C220EE">
        <w:trPr>
          <w:trHeight w:val="37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spacing w:after="120"/>
              <w:rPr>
                <w:rFonts w:cs="Arial"/>
                <w:sz w:val="23"/>
                <w:szCs w:val="23"/>
              </w:rPr>
            </w:pPr>
            <w:r w:rsidRPr="00355C97">
              <w:rPr>
                <w:rFonts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CF3" w:rsidRPr="00355C97" w:rsidRDefault="00147CF3" w:rsidP="00B07FC7">
            <w:pPr>
              <w:tabs>
                <w:tab w:val="left" w:pos="730"/>
              </w:tabs>
              <w:spacing w:after="120"/>
              <w:ind w:right="240"/>
              <w:jc w:val="right"/>
              <w:rPr>
                <w:rFonts w:cs="Arial"/>
                <w:color w:val="FF0000"/>
                <w:sz w:val="23"/>
                <w:szCs w:val="23"/>
              </w:rPr>
            </w:pPr>
            <w:r>
              <w:rPr>
                <w:rFonts w:cs="Arial"/>
                <w:b/>
                <w:bCs/>
                <w:sz w:val="23"/>
                <w:szCs w:val="23"/>
              </w:rPr>
              <w:t>114.1</w:t>
            </w:r>
          </w:p>
        </w:tc>
      </w:tr>
    </w:tbl>
    <w:p w:rsidR="00147CF3" w:rsidRDefault="00147CF3" w:rsidP="00147CF3">
      <w:pPr>
        <w:spacing w:after="120"/>
        <w:rPr>
          <w:rFonts w:cs="Arial"/>
        </w:rPr>
      </w:pPr>
      <w:r w:rsidRPr="00355C97">
        <w:rPr>
          <w:rFonts w:cs="Arial"/>
        </w:rPr>
        <w:t>Western Australia’s mineral and petroleum resour</w:t>
      </w:r>
      <w:r>
        <w:rPr>
          <w:rFonts w:cs="Arial"/>
        </w:rPr>
        <w:t>ces, in order of value for 20</w:t>
      </w:r>
      <w:r w:rsidRPr="00355C97">
        <w:rPr>
          <w:rFonts w:cs="Arial"/>
        </w:rPr>
        <w:t>14, were:</w:t>
      </w:r>
    </w:p>
    <w:p w:rsidR="00147CF3" w:rsidRDefault="00147CF3" w:rsidP="00147CF3">
      <w:pPr>
        <w:rPr>
          <w:rFonts w:cs="Arial"/>
        </w:rPr>
      </w:pPr>
    </w:p>
    <w:p w:rsidR="00421684" w:rsidRDefault="00421684" w:rsidP="00E9487E">
      <w:pPr>
        <w:rPr>
          <w:rFonts w:cs="Arial"/>
        </w:rPr>
      </w:pPr>
    </w:p>
    <w:p w:rsidR="00E9487E" w:rsidRDefault="00E9487E" w:rsidP="00E9487E">
      <w:pPr>
        <w:rPr>
          <w:rFonts w:cs="Arial"/>
        </w:rPr>
      </w:pPr>
    </w:p>
    <w:sectPr w:rsidR="00E9487E" w:rsidSect="00147CF3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F3" w:rsidRDefault="00147CF3">
      <w:r>
        <w:separator/>
      </w:r>
    </w:p>
  </w:endnote>
  <w:endnote w:type="continuationSeparator" w:id="0">
    <w:p w:rsidR="00147CF3" w:rsidRDefault="0014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F3" w:rsidRDefault="00147CF3">
      <w:r>
        <w:separator/>
      </w:r>
    </w:p>
  </w:footnote>
  <w:footnote w:type="continuationSeparator" w:id="0">
    <w:p w:rsidR="00147CF3" w:rsidRDefault="0014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F3" w:rsidRDefault="00147CF3">
    <w:pPr>
      <w:pStyle w:val="Header"/>
    </w:pPr>
  </w:p>
  <w:p w:rsidR="00147CF3" w:rsidRDefault="00147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F3" w:rsidRDefault="00147CF3">
    <w:pPr>
      <w:pStyle w:val="Header"/>
    </w:pPr>
    <w:r>
      <w:rPr>
        <w:noProof/>
      </w:rPr>
      <w:drawing>
        <wp:inline distT="0" distB="0" distL="0" distR="0" wp14:anchorId="652ADA3C" wp14:editId="380327D5">
          <wp:extent cx="27051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F3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47CF3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546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5497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1E88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20EE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2281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F3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373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en-AU"/>
    </w:r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47CF3"/>
    <w:rPr>
      <w:sz w:val="24"/>
      <w:szCs w:val="24"/>
    </w:rPr>
  </w:style>
  <w:style w:type="paragraph" w:styleId="BalloonText">
    <w:name w:val="Balloon Text"/>
    <w:basedOn w:val="Normal"/>
    <w:link w:val="BalloonTextChar"/>
    <w:rsid w:val="0014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F3"/>
    <w:pPr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373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en-AU"/>
    </w:r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  <w:jc w:val="left"/>
    </w:pPr>
    <w:rPr>
      <w:rFonts w:ascii="Times New Roman" w:hAnsi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47CF3"/>
    <w:rPr>
      <w:sz w:val="24"/>
      <w:szCs w:val="24"/>
    </w:rPr>
  </w:style>
  <w:style w:type="paragraph" w:styleId="BalloonText">
    <w:name w:val="Balloon Text"/>
    <w:basedOn w:val="Normal"/>
    <w:link w:val="BalloonTextChar"/>
    <w:rsid w:val="0014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87155239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Jill</dc:creator>
  <cp:lastModifiedBy>GREGORY, Jill</cp:lastModifiedBy>
  <cp:revision>3</cp:revision>
  <cp:lastPrinted>2015-03-23T06:18:00Z</cp:lastPrinted>
  <dcterms:created xsi:type="dcterms:W3CDTF">2015-03-23T06:34:00Z</dcterms:created>
  <dcterms:modified xsi:type="dcterms:W3CDTF">2015-03-23T06:51:00Z</dcterms:modified>
</cp:coreProperties>
</file>