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BF" w:rsidRPr="00A27EBF" w:rsidRDefault="00A27EBF" w:rsidP="006F3B54">
      <w:pPr>
        <w:ind w:right="-143"/>
        <w:jc w:val="both"/>
        <w:outlineLvl w:val="0"/>
        <w:rPr>
          <w:rFonts w:ascii="Arial" w:hAnsi="Arial" w:cs="Arial"/>
          <w:b/>
        </w:rPr>
      </w:pPr>
      <w:r w:rsidRPr="00A27EBF">
        <w:rPr>
          <w:rFonts w:ascii="Arial" w:hAnsi="Arial" w:cs="Arial"/>
          <w:b/>
        </w:rPr>
        <w:t xml:space="preserve">Mining and Petroleum Investment – Update as at </w:t>
      </w:r>
      <w:r w:rsidR="00B663C6">
        <w:rPr>
          <w:rFonts w:ascii="Arial" w:hAnsi="Arial" w:cs="Arial"/>
          <w:b/>
        </w:rPr>
        <w:t>March</w:t>
      </w:r>
      <w:r w:rsidRPr="00A27EBF">
        <w:rPr>
          <w:rFonts w:ascii="Arial" w:hAnsi="Arial" w:cs="Arial"/>
          <w:b/>
        </w:rPr>
        <w:t xml:space="preserve"> 201</w:t>
      </w:r>
      <w:r w:rsidR="00BB3B07">
        <w:rPr>
          <w:rFonts w:ascii="Arial" w:hAnsi="Arial" w:cs="Arial"/>
          <w:b/>
        </w:rPr>
        <w:t>5</w:t>
      </w:r>
    </w:p>
    <w:p w:rsidR="00A27EBF" w:rsidRPr="00C44B3E" w:rsidRDefault="00A27EBF" w:rsidP="006F3B54">
      <w:pPr>
        <w:ind w:left="567" w:right="-143"/>
        <w:jc w:val="both"/>
        <w:outlineLvl w:val="0"/>
        <w:rPr>
          <w:rFonts w:ascii="Arial" w:hAnsi="Arial" w:cs="Arial"/>
          <w:b/>
          <w:color w:val="FF0000"/>
        </w:rPr>
      </w:pPr>
    </w:p>
    <w:p w:rsidR="00E97C67" w:rsidRPr="002B3ECE" w:rsidRDefault="009F7F1C" w:rsidP="006F3B54">
      <w:pPr>
        <w:autoSpaceDE w:val="0"/>
        <w:autoSpaceDN w:val="0"/>
        <w:adjustRightInd w:val="0"/>
        <w:jc w:val="both"/>
        <w:rPr>
          <w:rFonts w:ascii="Arial" w:hAnsi="Arial" w:cs="Arial"/>
        </w:rPr>
      </w:pPr>
      <w:r w:rsidRPr="002B3ECE">
        <w:rPr>
          <w:rFonts w:ascii="Arial" w:hAnsi="Arial" w:cs="Arial"/>
        </w:rPr>
        <w:t>The Australian Bureau of Statistics (ABS) private new capital expenditure statistics indicate that the State’s mining industry invested $</w:t>
      </w:r>
      <w:r w:rsidR="00092E02" w:rsidRPr="002B3ECE">
        <w:rPr>
          <w:rFonts w:ascii="Arial" w:hAnsi="Arial" w:cs="Arial"/>
        </w:rPr>
        <w:t>46</w:t>
      </w:r>
      <w:r w:rsidRPr="002B3ECE">
        <w:rPr>
          <w:rFonts w:ascii="Arial" w:hAnsi="Arial" w:cs="Arial"/>
        </w:rPr>
        <w:t xml:space="preserve"> billion in 20</w:t>
      </w:r>
      <w:r w:rsidR="009C116C" w:rsidRPr="002B3ECE">
        <w:rPr>
          <w:rFonts w:ascii="Arial" w:hAnsi="Arial" w:cs="Arial"/>
        </w:rPr>
        <w:t>1</w:t>
      </w:r>
      <w:r w:rsidR="00092E02" w:rsidRPr="002B3ECE">
        <w:rPr>
          <w:rFonts w:ascii="Arial" w:hAnsi="Arial" w:cs="Arial"/>
        </w:rPr>
        <w:t>4</w:t>
      </w:r>
      <w:r w:rsidRPr="002B3ECE">
        <w:rPr>
          <w:rFonts w:ascii="Arial" w:hAnsi="Arial" w:cs="Arial"/>
        </w:rPr>
        <w:t xml:space="preserve">.  This represents </w:t>
      </w:r>
      <w:r w:rsidR="00092E02" w:rsidRPr="002B3ECE">
        <w:rPr>
          <w:rFonts w:ascii="Arial" w:hAnsi="Arial" w:cs="Arial"/>
        </w:rPr>
        <w:t xml:space="preserve">a slight </w:t>
      </w:r>
      <w:r w:rsidR="009C116C" w:rsidRPr="002B3ECE">
        <w:rPr>
          <w:rFonts w:ascii="Arial" w:hAnsi="Arial" w:cs="Arial"/>
        </w:rPr>
        <w:t>fall</w:t>
      </w:r>
      <w:r w:rsidR="00092E02" w:rsidRPr="002B3ECE">
        <w:rPr>
          <w:rFonts w:ascii="Arial" w:hAnsi="Arial" w:cs="Arial"/>
        </w:rPr>
        <w:t xml:space="preserve"> of one per</w:t>
      </w:r>
      <w:r w:rsidR="0012663A">
        <w:rPr>
          <w:rFonts w:ascii="Arial" w:hAnsi="Arial" w:cs="Arial"/>
        </w:rPr>
        <w:t xml:space="preserve"> </w:t>
      </w:r>
      <w:r w:rsidR="00092E02" w:rsidRPr="002B3ECE">
        <w:rPr>
          <w:rFonts w:ascii="Arial" w:hAnsi="Arial" w:cs="Arial"/>
        </w:rPr>
        <w:t xml:space="preserve">cent compared to 2013 of $47 billion. </w:t>
      </w:r>
      <w:r w:rsidR="00AA16B1" w:rsidRPr="002B3ECE">
        <w:rPr>
          <w:rFonts w:ascii="Arial" w:hAnsi="Arial" w:cs="Arial"/>
        </w:rPr>
        <w:t xml:space="preserve">  The</w:t>
      </w:r>
      <w:r w:rsidR="009C116C" w:rsidRPr="002B3ECE">
        <w:rPr>
          <w:rFonts w:ascii="Arial" w:hAnsi="Arial" w:cs="Arial"/>
        </w:rPr>
        <w:t xml:space="preserve"> decrease </w:t>
      </w:r>
      <w:r w:rsidR="00E97C67" w:rsidRPr="002B3ECE">
        <w:rPr>
          <w:rFonts w:ascii="Arial" w:hAnsi="Arial" w:cs="Arial"/>
        </w:rPr>
        <w:t>in the resource sector investment is due to major projects transitioning from their construction phase to an operational phase.</w:t>
      </w:r>
    </w:p>
    <w:p w:rsidR="009F7F1C" w:rsidRPr="00BB3B07" w:rsidRDefault="00E97C67" w:rsidP="006F3B54">
      <w:pPr>
        <w:autoSpaceDE w:val="0"/>
        <w:autoSpaceDN w:val="0"/>
        <w:adjustRightInd w:val="0"/>
        <w:jc w:val="both"/>
        <w:rPr>
          <w:rFonts w:ascii="Arial" w:hAnsi="Arial" w:cs="Arial"/>
          <w:color w:val="FF0000"/>
        </w:rPr>
      </w:pPr>
      <w:r w:rsidRPr="00BB3B07">
        <w:rPr>
          <w:rFonts w:ascii="Arial" w:hAnsi="Arial" w:cs="Arial"/>
          <w:color w:val="FF0000"/>
        </w:rPr>
        <w:t xml:space="preserve"> </w:t>
      </w:r>
    </w:p>
    <w:p w:rsidR="009F7F1C" w:rsidRPr="00F557C3" w:rsidRDefault="009F7F1C" w:rsidP="006F3B54">
      <w:pPr>
        <w:autoSpaceDE w:val="0"/>
        <w:autoSpaceDN w:val="0"/>
        <w:adjustRightInd w:val="0"/>
        <w:jc w:val="both"/>
        <w:rPr>
          <w:rFonts w:ascii="Arial" w:hAnsi="Arial" w:cs="Arial"/>
        </w:rPr>
      </w:pPr>
      <w:r w:rsidRPr="005F3C7C">
        <w:rPr>
          <w:rFonts w:ascii="Arial" w:hAnsi="Arial" w:cs="Arial"/>
        </w:rPr>
        <w:t xml:space="preserve">Western Australia </w:t>
      </w:r>
      <w:r w:rsidR="00364AD2" w:rsidRPr="005F3C7C">
        <w:rPr>
          <w:rFonts w:ascii="Arial" w:hAnsi="Arial" w:cs="Arial"/>
        </w:rPr>
        <w:t>once again topped</w:t>
      </w:r>
      <w:r w:rsidRPr="005F3C7C">
        <w:rPr>
          <w:rFonts w:ascii="Arial" w:hAnsi="Arial" w:cs="Arial"/>
        </w:rPr>
        <w:t xml:space="preserve"> the nation’s leading minin</w:t>
      </w:r>
      <w:r w:rsidR="00364AD2" w:rsidRPr="005F3C7C">
        <w:rPr>
          <w:rFonts w:ascii="Arial" w:hAnsi="Arial" w:cs="Arial"/>
        </w:rPr>
        <w:t>g investment destination in 2014</w:t>
      </w:r>
      <w:r w:rsidRPr="005F3C7C">
        <w:rPr>
          <w:rFonts w:ascii="Arial" w:hAnsi="Arial" w:cs="Arial"/>
        </w:rPr>
        <w:t xml:space="preserve"> attracting 5</w:t>
      </w:r>
      <w:r w:rsidR="00364AD2" w:rsidRPr="005F3C7C">
        <w:rPr>
          <w:rFonts w:ascii="Arial" w:hAnsi="Arial" w:cs="Arial"/>
        </w:rPr>
        <w:t>5</w:t>
      </w:r>
      <w:r w:rsidRPr="005F3C7C">
        <w:rPr>
          <w:rFonts w:ascii="Arial" w:hAnsi="Arial" w:cs="Arial"/>
        </w:rPr>
        <w:t xml:space="preserve"> per cent of total capital spending by the industry in Australia valued at </w:t>
      </w:r>
      <w:r w:rsidR="00364AD2" w:rsidRPr="005F3C7C">
        <w:rPr>
          <w:rFonts w:ascii="Arial" w:hAnsi="Arial" w:cs="Arial"/>
        </w:rPr>
        <w:t>$83</w:t>
      </w:r>
      <w:r w:rsidRPr="005F3C7C">
        <w:rPr>
          <w:rFonts w:ascii="Arial" w:hAnsi="Arial" w:cs="Arial"/>
        </w:rPr>
        <w:t xml:space="preserve"> billion.  </w:t>
      </w:r>
      <w:r w:rsidRPr="008F172B">
        <w:rPr>
          <w:rFonts w:ascii="Arial" w:hAnsi="Arial" w:cs="Arial"/>
        </w:rPr>
        <w:t xml:space="preserve">Fuelled by strong demand for resource commodities from Asia, new capital expenditure by the State’s </w:t>
      </w:r>
      <w:r w:rsidRPr="00F557C3">
        <w:rPr>
          <w:rFonts w:ascii="Arial" w:hAnsi="Arial" w:cs="Arial"/>
        </w:rPr>
        <w:t xml:space="preserve">mining industry has grown at an annual rate of </w:t>
      </w:r>
      <w:r w:rsidR="00F557C3" w:rsidRPr="00F557C3">
        <w:rPr>
          <w:rFonts w:ascii="Arial" w:hAnsi="Arial" w:cs="Arial"/>
        </w:rPr>
        <w:t>16</w:t>
      </w:r>
      <w:r w:rsidRPr="00F557C3">
        <w:rPr>
          <w:rFonts w:ascii="Arial" w:hAnsi="Arial" w:cs="Arial"/>
        </w:rPr>
        <w:t xml:space="preserve"> per ce</w:t>
      </w:r>
      <w:r w:rsidR="00F557C3" w:rsidRPr="00F557C3">
        <w:rPr>
          <w:rFonts w:ascii="Arial" w:hAnsi="Arial" w:cs="Arial"/>
        </w:rPr>
        <w:t>nt during the five years to 2014</w:t>
      </w:r>
      <w:r w:rsidRPr="00F557C3">
        <w:rPr>
          <w:rFonts w:ascii="Arial" w:hAnsi="Arial" w:cs="Arial"/>
        </w:rPr>
        <w:t>.</w:t>
      </w:r>
    </w:p>
    <w:p w:rsidR="009F7F1C" w:rsidRPr="00BB3B07" w:rsidRDefault="009F7F1C" w:rsidP="006F3B54">
      <w:pPr>
        <w:autoSpaceDE w:val="0"/>
        <w:autoSpaceDN w:val="0"/>
        <w:adjustRightInd w:val="0"/>
        <w:jc w:val="both"/>
        <w:rPr>
          <w:rFonts w:ascii="Arial" w:hAnsi="Arial" w:cs="Arial"/>
          <w:color w:val="FF0000"/>
        </w:rPr>
      </w:pPr>
    </w:p>
    <w:p w:rsidR="009F7F1C" w:rsidRPr="0012663A" w:rsidRDefault="006272D2" w:rsidP="006F3B54">
      <w:pPr>
        <w:autoSpaceDE w:val="0"/>
        <w:autoSpaceDN w:val="0"/>
        <w:adjustRightInd w:val="0"/>
        <w:jc w:val="both"/>
        <w:rPr>
          <w:rFonts w:ascii="Arial" w:hAnsi="Arial" w:cs="Arial"/>
        </w:rPr>
      </w:pPr>
      <w:r w:rsidRPr="006272D2">
        <w:rPr>
          <w:rFonts w:ascii="Arial" w:hAnsi="Arial" w:cs="Arial"/>
        </w:rPr>
        <w:t xml:space="preserve">In </w:t>
      </w:r>
      <w:r w:rsidRPr="00A12C51">
        <w:rPr>
          <w:rFonts w:ascii="Arial" w:hAnsi="Arial" w:cs="Arial"/>
        </w:rPr>
        <w:t>2014</w:t>
      </w:r>
      <w:r w:rsidR="00A12C51">
        <w:rPr>
          <w:rFonts w:ascii="Arial" w:hAnsi="Arial" w:cs="Arial"/>
        </w:rPr>
        <w:t xml:space="preserve">, </w:t>
      </w:r>
      <w:r w:rsidR="009F7F1C" w:rsidRPr="00A12C51">
        <w:rPr>
          <w:rFonts w:ascii="Arial" w:hAnsi="Arial" w:cs="Arial"/>
        </w:rPr>
        <w:t>new</w:t>
      </w:r>
      <w:r w:rsidR="009F7F1C" w:rsidRPr="005B1B1C">
        <w:rPr>
          <w:rFonts w:ascii="Arial" w:hAnsi="Arial" w:cs="Arial"/>
        </w:rPr>
        <w:t xml:space="preserve"> capital expenditure in Western Australia by mining, manufacturing and other selected industries </w:t>
      </w:r>
      <w:r w:rsidR="00171B65" w:rsidRPr="005B1B1C">
        <w:rPr>
          <w:rFonts w:ascii="Arial" w:hAnsi="Arial" w:cs="Arial"/>
        </w:rPr>
        <w:t>de</w:t>
      </w:r>
      <w:r w:rsidR="009F7F1C" w:rsidRPr="005B1B1C">
        <w:rPr>
          <w:rFonts w:ascii="Arial" w:hAnsi="Arial" w:cs="Arial"/>
        </w:rPr>
        <w:t>creased</w:t>
      </w:r>
      <w:r w:rsidR="001E023F" w:rsidRPr="005B1B1C">
        <w:rPr>
          <w:rFonts w:ascii="Arial" w:hAnsi="Arial" w:cs="Arial"/>
        </w:rPr>
        <w:t xml:space="preserve"> slightly to</w:t>
      </w:r>
      <w:r w:rsidR="009F7F1C" w:rsidRPr="005B1B1C">
        <w:rPr>
          <w:rFonts w:ascii="Arial" w:hAnsi="Arial" w:cs="Arial"/>
        </w:rPr>
        <w:t xml:space="preserve"> $5</w:t>
      </w:r>
      <w:r w:rsidR="00171B65" w:rsidRPr="005B1B1C">
        <w:rPr>
          <w:rFonts w:ascii="Arial" w:hAnsi="Arial" w:cs="Arial"/>
        </w:rPr>
        <w:t>6</w:t>
      </w:r>
      <w:r w:rsidR="009F7F1C" w:rsidRPr="005B1B1C">
        <w:rPr>
          <w:rFonts w:ascii="Arial" w:hAnsi="Arial" w:cs="Arial"/>
        </w:rPr>
        <w:t> billion and accounted for 3</w:t>
      </w:r>
      <w:r w:rsidR="005B1B1C" w:rsidRPr="005B1B1C">
        <w:rPr>
          <w:rFonts w:ascii="Arial" w:hAnsi="Arial" w:cs="Arial"/>
        </w:rPr>
        <w:t>6</w:t>
      </w:r>
      <w:r w:rsidR="009F7F1C" w:rsidRPr="005B1B1C">
        <w:rPr>
          <w:rFonts w:ascii="Arial" w:hAnsi="Arial" w:cs="Arial"/>
        </w:rPr>
        <w:t xml:space="preserve"> per cent of the Australian total</w:t>
      </w:r>
      <w:r w:rsidR="00A12C51">
        <w:rPr>
          <w:rFonts w:ascii="Arial" w:hAnsi="Arial" w:cs="Arial"/>
        </w:rPr>
        <w:t xml:space="preserve">.  The </w:t>
      </w:r>
      <w:r w:rsidR="009F7F1C" w:rsidRPr="0012663A">
        <w:rPr>
          <w:rFonts w:ascii="Arial" w:hAnsi="Arial" w:cs="Arial"/>
        </w:rPr>
        <w:t>majority of this investment is attributed to the mining industry which represented 8</w:t>
      </w:r>
      <w:r w:rsidR="0012663A" w:rsidRPr="0012663A">
        <w:rPr>
          <w:rFonts w:ascii="Arial" w:hAnsi="Arial" w:cs="Arial"/>
        </w:rPr>
        <w:t>3</w:t>
      </w:r>
      <w:r w:rsidR="009F7F1C" w:rsidRPr="0012663A">
        <w:rPr>
          <w:rFonts w:ascii="Arial" w:hAnsi="Arial" w:cs="Arial"/>
        </w:rPr>
        <w:t xml:space="preserve"> per cent of the State’s total private new capital expenditure in 201</w:t>
      </w:r>
      <w:bookmarkStart w:id="0" w:name="_GoBack"/>
      <w:bookmarkEnd w:id="0"/>
      <w:r w:rsidR="0012663A" w:rsidRPr="0012663A">
        <w:rPr>
          <w:rFonts w:ascii="Arial" w:hAnsi="Arial" w:cs="Arial"/>
        </w:rPr>
        <w:t>4</w:t>
      </w:r>
      <w:r w:rsidR="009F7F1C" w:rsidRPr="0012663A">
        <w:rPr>
          <w:rFonts w:ascii="Arial" w:hAnsi="Arial" w:cs="Arial"/>
        </w:rPr>
        <w:t>.</w:t>
      </w:r>
    </w:p>
    <w:p w:rsidR="009F7F1C" w:rsidRPr="0012663A" w:rsidRDefault="009F7F1C" w:rsidP="006F3B54">
      <w:pPr>
        <w:autoSpaceDE w:val="0"/>
        <w:autoSpaceDN w:val="0"/>
        <w:adjustRightInd w:val="0"/>
        <w:jc w:val="both"/>
        <w:rPr>
          <w:rFonts w:ascii="Arial" w:hAnsi="Arial" w:cs="Arial"/>
        </w:rPr>
      </w:pPr>
    </w:p>
    <w:p w:rsidR="009F7F1C" w:rsidRPr="0010502F" w:rsidRDefault="009F7F1C" w:rsidP="006F3B54">
      <w:pPr>
        <w:autoSpaceDE w:val="0"/>
        <w:autoSpaceDN w:val="0"/>
        <w:adjustRightInd w:val="0"/>
        <w:jc w:val="both"/>
        <w:rPr>
          <w:rFonts w:ascii="Arial" w:hAnsi="Arial" w:cs="Arial"/>
        </w:rPr>
      </w:pPr>
      <w:r w:rsidRPr="0012663A">
        <w:rPr>
          <w:rFonts w:ascii="Arial" w:hAnsi="Arial" w:cs="Arial"/>
        </w:rPr>
        <w:t xml:space="preserve">It is important to note that the figures reported above </w:t>
      </w:r>
      <w:r w:rsidR="00E37B2B" w:rsidRPr="0012663A">
        <w:rPr>
          <w:rFonts w:ascii="Arial" w:hAnsi="Arial" w:cs="Arial"/>
        </w:rPr>
        <w:t xml:space="preserve">by the ABS </w:t>
      </w:r>
      <w:r w:rsidRPr="0012663A">
        <w:rPr>
          <w:rFonts w:ascii="Arial" w:hAnsi="Arial" w:cs="Arial"/>
        </w:rPr>
        <w:t xml:space="preserve">do </w:t>
      </w:r>
      <w:r w:rsidRPr="0010502F">
        <w:rPr>
          <w:rFonts w:ascii="Arial" w:hAnsi="Arial" w:cs="Arial"/>
        </w:rPr>
        <w:t>not capture all mining investment</w:t>
      </w:r>
      <w:r w:rsidR="00E37B2B" w:rsidRPr="0010502F">
        <w:rPr>
          <w:rFonts w:ascii="Arial" w:hAnsi="Arial" w:cs="Arial"/>
        </w:rPr>
        <w:t>.  T</w:t>
      </w:r>
      <w:r w:rsidRPr="0010502F">
        <w:rPr>
          <w:rFonts w:ascii="Arial" w:hAnsi="Arial" w:cs="Arial"/>
        </w:rPr>
        <w:t>he ABS uses classifications specified in the 2006 edition of the Australian and New Zealand Standard Industrial Classification (ANZSIC) (ABS catalogue number 1292.0).  Accordingly, mining is broadly defined as the extraction of minerals occurring naturally as solids such as coal and ores, liquids such as crude petroleum and natural gas.  Downstream mining activities such as smelting of minerals or ores (other than preliminary smelting of gold) or refining are classified as manufacturing activities under the ANZSIC.  Products such as coke and alumina are also included in the ANZSIC manufacturing category.</w:t>
      </w:r>
    </w:p>
    <w:p w:rsidR="009F7F1C" w:rsidRPr="0010502F" w:rsidRDefault="009F7F1C" w:rsidP="006F3B54">
      <w:pPr>
        <w:autoSpaceDE w:val="0"/>
        <w:autoSpaceDN w:val="0"/>
        <w:adjustRightInd w:val="0"/>
        <w:jc w:val="both"/>
        <w:rPr>
          <w:rFonts w:ascii="Arial" w:hAnsi="Arial" w:cs="Arial"/>
        </w:rPr>
      </w:pPr>
    </w:p>
    <w:p w:rsidR="009F7F1C" w:rsidRPr="0010502F" w:rsidRDefault="00E37B2B" w:rsidP="006F3B54">
      <w:pPr>
        <w:autoSpaceDE w:val="0"/>
        <w:autoSpaceDN w:val="0"/>
        <w:adjustRightInd w:val="0"/>
        <w:jc w:val="both"/>
        <w:rPr>
          <w:rFonts w:ascii="Arial" w:hAnsi="Arial" w:cs="Arial"/>
        </w:rPr>
      </w:pPr>
      <w:r w:rsidRPr="0010502F">
        <w:rPr>
          <w:rFonts w:ascii="Arial" w:hAnsi="Arial" w:cs="Arial"/>
        </w:rPr>
        <w:t>In</w:t>
      </w:r>
      <w:r w:rsidR="009F7F1C" w:rsidRPr="0010502F">
        <w:rPr>
          <w:rFonts w:ascii="Arial" w:hAnsi="Arial" w:cs="Arial"/>
        </w:rPr>
        <w:t xml:space="preserve"> monitoring resource investment activity in Western Australia, the Department of Mines and Petroleum</w:t>
      </w:r>
      <w:r w:rsidR="00A12C51">
        <w:rPr>
          <w:rFonts w:ascii="Arial" w:hAnsi="Arial" w:cs="Arial"/>
        </w:rPr>
        <w:t xml:space="preserve"> also</w:t>
      </w:r>
      <w:r w:rsidR="009F7F1C" w:rsidRPr="0010502F">
        <w:rPr>
          <w:rFonts w:ascii="Arial" w:hAnsi="Arial" w:cs="Arial"/>
        </w:rPr>
        <w:t xml:space="preserve"> collects information on mineral and petroleum projects to </w:t>
      </w:r>
      <w:r w:rsidRPr="0010502F">
        <w:rPr>
          <w:rFonts w:ascii="Arial" w:hAnsi="Arial" w:cs="Arial"/>
        </w:rPr>
        <w:t>estimate</w:t>
      </w:r>
      <w:r w:rsidR="009F7F1C" w:rsidRPr="0010502F">
        <w:rPr>
          <w:rFonts w:ascii="Arial" w:hAnsi="Arial" w:cs="Arial"/>
        </w:rPr>
        <w:t xml:space="preserve"> actual and possible investment.  Where possible, information is collated relating to expected capital expenditure, project timing and employment during both construction and operation</w:t>
      </w:r>
      <w:r w:rsidRPr="0010502F">
        <w:rPr>
          <w:rFonts w:ascii="Arial" w:hAnsi="Arial" w:cs="Arial"/>
        </w:rPr>
        <w:t xml:space="preserve"> phases</w:t>
      </w:r>
      <w:r w:rsidR="009F7F1C" w:rsidRPr="0010502F">
        <w:rPr>
          <w:rFonts w:ascii="Arial" w:hAnsi="Arial" w:cs="Arial"/>
        </w:rPr>
        <w:t xml:space="preserve">.  </w:t>
      </w:r>
    </w:p>
    <w:p w:rsidR="009F7F1C" w:rsidRPr="00BB3B07" w:rsidRDefault="009F7F1C" w:rsidP="006F3B54">
      <w:pPr>
        <w:autoSpaceDE w:val="0"/>
        <w:autoSpaceDN w:val="0"/>
        <w:adjustRightInd w:val="0"/>
        <w:jc w:val="both"/>
        <w:rPr>
          <w:rFonts w:ascii="Arial" w:hAnsi="Arial" w:cs="Arial"/>
          <w:color w:val="FF0000"/>
        </w:rPr>
      </w:pPr>
    </w:p>
    <w:p w:rsidR="009F7F1C" w:rsidRPr="006272D2" w:rsidRDefault="009F7F1C" w:rsidP="006F3B54">
      <w:pPr>
        <w:autoSpaceDE w:val="0"/>
        <w:autoSpaceDN w:val="0"/>
        <w:adjustRightInd w:val="0"/>
        <w:jc w:val="both"/>
        <w:rPr>
          <w:rFonts w:ascii="Arial" w:hAnsi="Arial" w:cs="Arial"/>
        </w:rPr>
      </w:pPr>
      <w:r w:rsidRPr="006272D2">
        <w:rPr>
          <w:rFonts w:ascii="Arial" w:hAnsi="Arial" w:cs="Arial"/>
        </w:rPr>
        <w:t xml:space="preserve">Information is obtained from various sources including the Bureau of Resources and Energy Economics’ (BREE) list of major mineral and energy projects, Deloitte Access Economics’ Investment Monitor, </w:t>
      </w:r>
      <w:r w:rsidR="004A4C70" w:rsidRPr="006272D2">
        <w:rPr>
          <w:rFonts w:ascii="Arial" w:hAnsi="Arial" w:cs="Arial"/>
        </w:rPr>
        <w:t xml:space="preserve">EnergyQuest, </w:t>
      </w:r>
      <w:r w:rsidRPr="006272D2">
        <w:rPr>
          <w:rFonts w:ascii="Arial" w:hAnsi="Arial" w:cs="Arial"/>
        </w:rPr>
        <w:t xml:space="preserve">REPS’ Major WA Projects Listing, on-line company research consultancy systems, media announcements and company websites.  Currently, information on mineral and petroleum projects comprises approximately </w:t>
      </w:r>
      <w:r w:rsidR="006272D2" w:rsidRPr="006272D2">
        <w:rPr>
          <w:rFonts w:ascii="Arial" w:hAnsi="Arial" w:cs="Arial"/>
        </w:rPr>
        <w:t xml:space="preserve">90 </w:t>
      </w:r>
      <w:r w:rsidRPr="006272D2">
        <w:rPr>
          <w:rFonts w:ascii="Arial" w:hAnsi="Arial" w:cs="Arial"/>
        </w:rPr>
        <w:t>projects.</w:t>
      </w:r>
    </w:p>
    <w:p w:rsidR="009F7F1C" w:rsidRPr="00BB3B07" w:rsidRDefault="009F7F1C" w:rsidP="006F3B54">
      <w:pPr>
        <w:autoSpaceDE w:val="0"/>
        <w:autoSpaceDN w:val="0"/>
        <w:adjustRightInd w:val="0"/>
        <w:jc w:val="both"/>
        <w:rPr>
          <w:rFonts w:ascii="Arial" w:hAnsi="Arial" w:cs="Arial"/>
          <w:color w:val="FF0000"/>
        </w:rPr>
      </w:pPr>
    </w:p>
    <w:p w:rsidR="009F7F1C" w:rsidRPr="00F81FD0" w:rsidRDefault="009F7F1C" w:rsidP="006F3B54">
      <w:pPr>
        <w:autoSpaceDE w:val="0"/>
        <w:autoSpaceDN w:val="0"/>
        <w:adjustRightInd w:val="0"/>
        <w:jc w:val="both"/>
        <w:rPr>
          <w:rFonts w:ascii="Arial" w:hAnsi="Arial" w:cs="Arial"/>
        </w:rPr>
      </w:pPr>
      <w:r w:rsidRPr="00F81FD0">
        <w:rPr>
          <w:rFonts w:ascii="Arial" w:hAnsi="Arial" w:cs="Arial"/>
        </w:rPr>
        <w:lastRenderedPageBreak/>
        <w:t>Projects are ranked according to understood project potential and level of advancement towards production.  Mineral and petroleum projects are categorised as follows:</w:t>
      </w:r>
    </w:p>
    <w:p w:rsidR="009F7F1C" w:rsidRPr="00F81FD0" w:rsidRDefault="009F7F1C" w:rsidP="006F3B54">
      <w:pPr>
        <w:ind w:right="-143"/>
        <w:jc w:val="both"/>
        <w:rPr>
          <w:rFonts w:ascii="Arial" w:hAnsi="Arial" w:cs="Arial"/>
        </w:rPr>
      </w:pPr>
    </w:p>
    <w:p w:rsidR="009F7F1C" w:rsidRPr="00F81FD0" w:rsidRDefault="009F7F1C" w:rsidP="006F3B54">
      <w:pPr>
        <w:pStyle w:val="ListParagraph"/>
        <w:numPr>
          <w:ilvl w:val="0"/>
          <w:numId w:val="3"/>
        </w:numPr>
        <w:jc w:val="both"/>
        <w:rPr>
          <w:rStyle w:val="Strong"/>
          <w:rFonts w:ascii="Arial" w:hAnsi="Arial" w:cs="Arial"/>
          <w:b w:val="0"/>
        </w:rPr>
      </w:pPr>
      <w:r w:rsidRPr="00F81FD0">
        <w:rPr>
          <w:rStyle w:val="Strong"/>
          <w:rFonts w:ascii="Arial" w:hAnsi="Arial" w:cs="Arial"/>
          <w:b w:val="0"/>
        </w:rPr>
        <w:t>Projects Under Construction are those actually under construction at the time of updating the estimates of total capital expenditure.</w:t>
      </w:r>
    </w:p>
    <w:p w:rsidR="009F7F1C" w:rsidRPr="00F81FD0" w:rsidRDefault="009F7F1C" w:rsidP="006F3B54">
      <w:pPr>
        <w:pStyle w:val="ListParagraph"/>
        <w:ind w:left="0"/>
        <w:jc w:val="both"/>
        <w:rPr>
          <w:rStyle w:val="Strong"/>
          <w:rFonts w:ascii="Arial" w:hAnsi="Arial" w:cs="Arial"/>
          <w:b w:val="0"/>
        </w:rPr>
      </w:pPr>
    </w:p>
    <w:p w:rsidR="009F7F1C" w:rsidRPr="00F81FD0" w:rsidRDefault="009F7F1C" w:rsidP="006F3B54">
      <w:pPr>
        <w:pStyle w:val="ListParagraph"/>
        <w:numPr>
          <w:ilvl w:val="0"/>
          <w:numId w:val="3"/>
        </w:numPr>
        <w:jc w:val="both"/>
        <w:rPr>
          <w:rStyle w:val="Strong"/>
          <w:rFonts w:ascii="Arial" w:hAnsi="Arial" w:cs="Arial"/>
          <w:b w:val="0"/>
        </w:rPr>
      </w:pPr>
      <w:r w:rsidRPr="00F81FD0">
        <w:rPr>
          <w:rStyle w:val="Strong"/>
          <w:rFonts w:ascii="Arial" w:hAnsi="Arial" w:cs="Arial"/>
          <w:b w:val="0"/>
        </w:rPr>
        <w:t>Committed Projects have company commitment including a final investment decision (FID) but are waiting for approvals to proceed with construction.</w:t>
      </w:r>
    </w:p>
    <w:p w:rsidR="009F7F1C" w:rsidRPr="00F81FD0" w:rsidRDefault="009F7F1C" w:rsidP="006F3B54">
      <w:pPr>
        <w:pStyle w:val="ListParagraph"/>
        <w:ind w:left="0"/>
        <w:jc w:val="both"/>
        <w:rPr>
          <w:rFonts w:ascii="Arial" w:hAnsi="Arial" w:cs="Arial"/>
        </w:rPr>
      </w:pPr>
    </w:p>
    <w:p w:rsidR="009F7F1C" w:rsidRPr="00F81FD0" w:rsidRDefault="009F7F1C" w:rsidP="006F3B54">
      <w:pPr>
        <w:pStyle w:val="ListParagraph"/>
        <w:numPr>
          <w:ilvl w:val="0"/>
          <w:numId w:val="3"/>
        </w:numPr>
        <w:jc w:val="both"/>
        <w:rPr>
          <w:rFonts w:ascii="Arial" w:hAnsi="Arial" w:cs="Arial"/>
          <w:bCs/>
        </w:rPr>
      </w:pPr>
      <w:r w:rsidRPr="00F81FD0">
        <w:rPr>
          <w:rFonts w:ascii="Arial" w:hAnsi="Arial" w:cs="Arial"/>
        </w:rPr>
        <w:t>Planned Projects encompass those undergoing advanced feasibility studies including definitive and bankable feasibility studies.  For oil and gas projects, the planning phase typically involves detailed engineering design which is also referred to as Front End Engineering and Design (FEED).</w:t>
      </w:r>
    </w:p>
    <w:p w:rsidR="009F7F1C" w:rsidRPr="00F81FD0" w:rsidRDefault="009F7F1C" w:rsidP="006F3B54">
      <w:pPr>
        <w:pStyle w:val="ListParagraph"/>
        <w:ind w:left="0"/>
        <w:jc w:val="both"/>
        <w:rPr>
          <w:rFonts w:ascii="Arial" w:hAnsi="Arial" w:cs="Arial"/>
        </w:rPr>
      </w:pPr>
    </w:p>
    <w:p w:rsidR="009F7F1C" w:rsidRPr="00F81FD0" w:rsidRDefault="009F7F1C" w:rsidP="006F3B54">
      <w:pPr>
        <w:pStyle w:val="ListParagraph"/>
        <w:numPr>
          <w:ilvl w:val="0"/>
          <w:numId w:val="3"/>
        </w:numPr>
        <w:jc w:val="both"/>
        <w:rPr>
          <w:rFonts w:ascii="Arial" w:hAnsi="Arial" w:cs="Arial"/>
          <w:bCs/>
        </w:rPr>
      </w:pPr>
      <w:r w:rsidRPr="00F81FD0">
        <w:rPr>
          <w:rFonts w:ascii="Arial" w:hAnsi="Arial" w:cs="Arial"/>
        </w:rPr>
        <w:t>Possible Projects comprise those raising capital and not yet as advanced as those projects conducting definitive and bankable feasibility studies as well as projects on hold for various reasons.</w:t>
      </w:r>
    </w:p>
    <w:p w:rsidR="009F7F1C" w:rsidRPr="00BB3B07" w:rsidRDefault="009F7F1C" w:rsidP="006F3B54">
      <w:pPr>
        <w:autoSpaceDE w:val="0"/>
        <w:autoSpaceDN w:val="0"/>
        <w:adjustRightInd w:val="0"/>
        <w:jc w:val="both"/>
        <w:rPr>
          <w:rFonts w:ascii="Arial" w:hAnsi="Arial" w:cs="Arial"/>
          <w:color w:val="FF0000"/>
        </w:rPr>
      </w:pPr>
    </w:p>
    <w:p w:rsidR="009F7F1C" w:rsidRPr="008F3BDE" w:rsidRDefault="009F7F1C" w:rsidP="006F3B54">
      <w:pPr>
        <w:autoSpaceDE w:val="0"/>
        <w:autoSpaceDN w:val="0"/>
        <w:adjustRightInd w:val="0"/>
        <w:jc w:val="both"/>
        <w:rPr>
          <w:rFonts w:ascii="Arial" w:hAnsi="Arial" w:cs="Arial"/>
        </w:rPr>
      </w:pPr>
      <w:r w:rsidRPr="008F3BDE">
        <w:rPr>
          <w:rFonts w:ascii="Arial" w:hAnsi="Arial" w:cs="Arial"/>
        </w:rPr>
        <w:t xml:space="preserve">Based on information available </w:t>
      </w:r>
      <w:r w:rsidR="0012663A">
        <w:rPr>
          <w:rFonts w:ascii="Arial" w:hAnsi="Arial" w:cs="Arial"/>
        </w:rPr>
        <w:t>at the end of</w:t>
      </w:r>
      <w:r w:rsidR="00F81FD0" w:rsidRPr="008F3BDE">
        <w:rPr>
          <w:rFonts w:ascii="Arial" w:hAnsi="Arial" w:cs="Arial"/>
        </w:rPr>
        <w:t xml:space="preserve"> February 2015</w:t>
      </w:r>
      <w:r w:rsidRPr="008F3BDE">
        <w:rPr>
          <w:rFonts w:ascii="Arial" w:hAnsi="Arial" w:cs="Arial"/>
        </w:rPr>
        <w:t>, a summary of total capital expenditure by commodity is provided in the table below. It should be noted that investment in a number of the projects is publicly reported in US dollar terms and the data may therefore vary over time in line with movements in the US/A$ exchange rate.</w:t>
      </w:r>
      <w:r w:rsidR="008426F9">
        <w:rPr>
          <w:rFonts w:ascii="Arial" w:hAnsi="Arial" w:cs="Arial"/>
        </w:rPr>
        <w:t xml:space="preserve">  </w:t>
      </w:r>
      <w:r w:rsidR="00AB72D7">
        <w:rPr>
          <w:rFonts w:ascii="Arial" w:hAnsi="Arial" w:cs="Arial"/>
        </w:rPr>
        <w:t>The rate used in February 2015 is 15 per cent lower than that used for the September 2014 investment summary.</w:t>
      </w:r>
    </w:p>
    <w:p w:rsidR="0012663A" w:rsidRPr="00BB3B07" w:rsidRDefault="0012663A" w:rsidP="006F3B54">
      <w:pPr>
        <w:autoSpaceDE w:val="0"/>
        <w:autoSpaceDN w:val="0"/>
        <w:adjustRightInd w:val="0"/>
        <w:jc w:val="both"/>
        <w:rPr>
          <w:rFonts w:ascii="Arial" w:hAnsi="Arial" w:cs="Arial"/>
          <w:color w:val="FF0000"/>
        </w:rPr>
      </w:pPr>
    </w:p>
    <w:p w:rsidR="0012663A" w:rsidRPr="0042061F" w:rsidRDefault="0012663A" w:rsidP="006F3B54">
      <w:pPr>
        <w:autoSpaceDE w:val="0"/>
        <w:autoSpaceDN w:val="0"/>
        <w:adjustRightInd w:val="0"/>
        <w:jc w:val="both"/>
        <w:rPr>
          <w:rFonts w:ascii="Arial" w:hAnsi="Arial" w:cs="Arial"/>
        </w:rPr>
      </w:pPr>
      <w:r w:rsidRPr="0042061F">
        <w:rPr>
          <w:rFonts w:ascii="Arial" w:hAnsi="Arial" w:cs="Arial"/>
        </w:rPr>
        <w:t xml:space="preserve">Investment in the State is currently led by major export orientated liquefied natural gas (LNG) and iron ore projects under construction or expansion.  </w:t>
      </w:r>
    </w:p>
    <w:p w:rsidR="0012663A" w:rsidRPr="0042061F" w:rsidRDefault="0012663A" w:rsidP="006F3B54">
      <w:pPr>
        <w:autoSpaceDE w:val="0"/>
        <w:autoSpaceDN w:val="0"/>
        <w:adjustRightInd w:val="0"/>
        <w:jc w:val="both"/>
        <w:rPr>
          <w:rFonts w:ascii="Arial" w:hAnsi="Arial" w:cs="Arial"/>
        </w:rPr>
      </w:pPr>
    </w:p>
    <w:p w:rsidR="004C63B7" w:rsidRDefault="0012663A" w:rsidP="006F3B54">
      <w:pPr>
        <w:autoSpaceDE w:val="0"/>
        <w:autoSpaceDN w:val="0"/>
        <w:adjustRightInd w:val="0"/>
        <w:jc w:val="both"/>
        <w:rPr>
          <w:rFonts w:ascii="Arial" w:hAnsi="Arial" w:cs="Arial"/>
        </w:rPr>
      </w:pPr>
      <w:r w:rsidRPr="0042061F">
        <w:rPr>
          <w:rFonts w:ascii="Arial" w:hAnsi="Arial" w:cs="Arial"/>
        </w:rPr>
        <w:t>The $69 bill</w:t>
      </w:r>
      <w:r w:rsidR="001F1FEF">
        <w:rPr>
          <w:rFonts w:ascii="Arial" w:hAnsi="Arial" w:cs="Arial"/>
        </w:rPr>
        <w:t>ion Gorgon LNG project continued</w:t>
      </w:r>
      <w:r w:rsidRPr="0042061F">
        <w:rPr>
          <w:rFonts w:ascii="Arial" w:hAnsi="Arial" w:cs="Arial"/>
        </w:rPr>
        <w:t xml:space="preserve"> to lead resource construction followed by the $37 bi</w:t>
      </w:r>
      <w:r w:rsidR="001F1FEF">
        <w:rPr>
          <w:rFonts w:ascii="Arial" w:hAnsi="Arial" w:cs="Arial"/>
        </w:rPr>
        <w:t>llion Wheatstone LNG project.  Also, S</w:t>
      </w:r>
      <w:r w:rsidRPr="0042061F">
        <w:rPr>
          <w:rFonts w:ascii="Arial" w:hAnsi="Arial" w:cs="Arial"/>
        </w:rPr>
        <w:t>hell is constructing the $16 billion Prelude project - the world’s first floating LNG facility</w:t>
      </w:r>
      <w:r w:rsidRPr="0012663A">
        <w:rPr>
          <w:rFonts w:ascii="Arial" w:hAnsi="Arial" w:cs="Arial"/>
        </w:rPr>
        <w:t xml:space="preserve">.  </w:t>
      </w:r>
      <w:r w:rsidR="001F1FEF">
        <w:rPr>
          <w:rFonts w:ascii="Arial" w:hAnsi="Arial" w:cs="Arial"/>
        </w:rPr>
        <w:t xml:space="preserve"> </w:t>
      </w:r>
    </w:p>
    <w:p w:rsidR="0012663A" w:rsidRPr="004C63B7" w:rsidRDefault="004C63B7" w:rsidP="006F3B54">
      <w:pPr>
        <w:autoSpaceDE w:val="0"/>
        <w:autoSpaceDN w:val="0"/>
        <w:adjustRightInd w:val="0"/>
        <w:jc w:val="both"/>
        <w:rPr>
          <w:rFonts w:ascii="Arial" w:hAnsi="Arial" w:cs="Arial"/>
        </w:rPr>
      </w:pPr>
      <w:r w:rsidRPr="004C63B7">
        <w:rPr>
          <w:rFonts w:ascii="Arial" w:hAnsi="Arial" w:cs="Arial"/>
        </w:rPr>
        <w:t xml:space="preserve"> </w:t>
      </w:r>
    </w:p>
    <w:p w:rsidR="009F7F1C" w:rsidRDefault="0012663A" w:rsidP="006F3B54">
      <w:pPr>
        <w:autoSpaceDE w:val="0"/>
        <w:autoSpaceDN w:val="0"/>
        <w:adjustRightInd w:val="0"/>
        <w:jc w:val="both"/>
        <w:rPr>
          <w:rFonts w:ascii="Arial" w:hAnsi="Arial" w:cs="Arial"/>
        </w:rPr>
      </w:pPr>
      <w:r w:rsidRPr="009F3450">
        <w:rPr>
          <w:rFonts w:ascii="Arial" w:hAnsi="Arial" w:cs="Arial"/>
        </w:rPr>
        <w:t xml:space="preserve">Major iron ore projects under construction include Hancock Prospecting’s Roy Hill mine ($10 billion), Rio Tinto’s expansion of Yandicoogina, Western Turner Syncline and their Cape Lambert port and rail expansion ($11.5 billion) and construction of CITIC Pacific’s Sino Iron production lines three to six </w:t>
      </w:r>
      <w:r w:rsidR="001F1FEF">
        <w:rPr>
          <w:rFonts w:ascii="Arial" w:hAnsi="Arial" w:cs="Arial"/>
        </w:rPr>
        <w:t xml:space="preserve"> </w:t>
      </w:r>
      <w:r w:rsidRPr="009F3450">
        <w:rPr>
          <w:rFonts w:ascii="Arial" w:hAnsi="Arial" w:cs="Arial"/>
        </w:rPr>
        <w:t>($2.5 billion).</w:t>
      </w:r>
    </w:p>
    <w:p w:rsidR="004C63B7" w:rsidRPr="00BB3B07" w:rsidRDefault="004C63B7" w:rsidP="006F3B54">
      <w:pPr>
        <w:autoSpaceDE w:val="0"/>
        <w:autoSpaceDN w:val="0"/>
        <w:adjustRightInd w:val="0"/>
        <w:jc w:val="both"/>
        <w:rPr>
          <w:rFonts w:ascii="Arial" w:hAnsi="Arial" w:cs="Arial"/>
          <w:color w:val="FF0000"/>
        </w:rPr>
      </w:pPr>
    </w:p>
    <w:p w:rsidR="00596310" w:rsidRPr="00C43ED7" w:rsidRDefault="009F7F1C" w:rsidP="006F3B54">
      <w:pPr>
        <w:autoSpaceDE w:val="0"/>
        <w:autoSpaceDN w:val="0"/>
        <w:adjustRightInd w:val="0"/>
        <w:jc w:val="both"/>
        <w:rPr>
          <w:rFonts w:ascii="Arial" w:hAnsi="Arial" w:cs="Arial"/>
        </w:rPr>
      </w:pPr>
      <w:r w:rsidRPr="00C43ED7">
        <w:rPr>
          <w:rFonts w:ascii="Arial" w:hAnsi="Arial" w:cs="Arial"/>
        </w:rPr>
        <w:t xml:space="preserve">In </w:t>
      </w:r>
      <w:r w:rsidR="001F1FEF">
        <w:rPr>
          <w:rFonts w:ascii="Arial" w:hAnsi="Arial" w:cs="Arial"/>
        </w:rPr>
        <w:t xml:space="preserve">summary, as at the end of </w:t>
      </w:r>
      <w:r w:rsidR="008F3BDE" w:rsidRPr="00C43ED7">
        <w:rPr>
          <w:rFonts w:ascii="Arial" w:hAnsi="Arial" w:cs="Arial"/>
        </w:rPr>
        <w:t>February</w:t>
      </w:r>
      <w:r w:rsidRPr="00C43ED7">
        <w:rPr>
          <w:rFonts w:ascii="Arial" w:hAnsi="Arial" w:cs="Arial"/>
        </w:rPr>
        <w:t xml:space="preserve"> 20</w:t>
      </w:r>
      <w:r w:rsidR="008F3BDE" w:rsidRPr="00C43ED7">
        <w:rPr>
          <w:rFonts w:ascii="Arial" w:hAnsi="Arial" w:cs="Arial"/>
        </w:rPr>
        <w:t>15</w:t>
      </w:r>
      <w:r w:rsidRPr="00C43ED7">
        <w:rPr>
          <w:rFonts w:ascii="Arial" w:hAnsi="Arial" w:cs="Arial"/>
        </w:rPr>
        <w:t xml:space="preserve">, Western Australia had an estimated </w:t>
      </w:r>
      <w:r w:rsidR="008F3BDE" w:rsidRPr="00C43ED7">
        <w:rPr>
          <w:rFonts w:ascii="Arial" w:hAnsi="Arial" w:cs="Arial"/>
        </w:rPr>
        <w:t>$179</w:t>
      </w:r>
      <w:r w:rsidRPr="00C43ED7">
        <w:rPr>
          <w:rFonts w:ascii="Arial" w:hAnsi="Arial" w:cs="Arial"/>
        </w:rPr>
        <w:t xml:space="preserve"> billion worth of resource projects under construction or in the committed stage of development.  A further </w:t>
      </w:r>
      <w:r w:rsidR="008F3BDE" w:rsidRPr="00C43ED7">
        <w:rPr>
          <w:rFonts w:ascii="Arial" w:hAnsi="Arial" w:cs="Arial"/>
        </w:rPr>
        <w:t>$118</w:t>
      </w:r>
      <w:r w:rsidRPr="00C43ED7">
        <w:rPr>
          <w:rFonts w:ascii="Arial" w:hAnsi="Arial" w:cs="Arial"/>
        </w:rPr>
        <w:t xml:space="preserve"> billion has been identified as planned or possible projects in coming years.   </w:t>
      </w:r>
    </w:p>
    <w:p w:rsidR="009F7F1C" w:rsidRPr="009F3450" w:rsidRDefault="009F7F1C" w:rsidP="00D240A9">
      <w:pPr>
        <w:autoSpaceDE w:val="0"/>
        <w:autoSpaceDN w:val="0"/>
        <w:adjustRightInd w:val="0"/>
        <w:rPr>
          <w:rFonts w:ascii="Arial" w:hAnsi="Arial" w:cs="Arial"/>
        </w:rPr>
      </w:pPr>
    </w:p>
    <w:p w:rsidR="009F7F1C" w:rsidRPr="00BB3B07" w:rsidRDefault="009F7F1C" w:rsidP="00D240A9">
      <w:pPr>
        <w:autoSpaceDE w:val="0"/>
        <w:autoSpaceDN w:val="0"/>
        <w:adjustRightInd w:val="0"/>
        <w:rPr>
          <w:rFonts w:ascii="Arial" w:hAnsi="Arial" w:cs="Arial"/>
          <w:color w:val="FF0000"/>
        </w:rPr>
      </w:pPr>
      <w:r w:rsidRPr="00BB3B07">
        <w:rPr>
          <w:rFonts w:ascii="Arial" w:hAnsi="Arial" w:cs="Arial"/>
          <w:color w:val="FF0000"/>
        </w:rPr>
        <w:t xml:space="preserve"> </w:t>
      </w:r>
    </w:p>
    <w:p w:rsidR="009F7F1C" w:rsidRPr="00BB3B07" w:rsidRDefault="009F7F1C" w:rsidP="00D240A9">
      <w:pPr>
        <w:rPr>
          <w:rFonts w:ascii="Arial" w:hAnsi="Arial" w:cs="Arial"/>
          <w:color w:val="FF0000"/>
        </w:rPr>
      </w:pPr>
    </w:p>
    <w:p w:rsidR="009F7F1C" w:rsidRPr="00BB3B07" w:rsidRDefault="009F7F1C" w:rsidP="00D240A9">
      <w:pPr>
        <w:autoSpaceDE w:val="0"/>
        <w:autoSpaceDN w:val="0"/>
        <w:adjustRightInd w:val="0"/>
        <w:ind w:left="567"/>
        <w:rPr>
          <w:rFonts w:ascii="Arial" w:hAnsi="Arial" w:cs="Arial"/>
          <w:color w:val="FF0000"/>
        </w:rPr>
      </w:pPr>
    </w:p>
    <w:p w:rsidR="009F7F1C" w:rsidRPr="00BB3B07" w:rsidRDefault="009F7F1C" w:rsidP="00D240A9">
      <w:pPr>
        <w:ind w:left="2880" w:right="-143"/>
        <w:outlineLvl w:val="0"/>
        <w:rPr>
          <w:rFonts w:ascii="Arial" w:hAnsi="Arial" w:cs="Arial"/>
          <w:b/>
          <w:sz w:val="22"/>
          <w:szCs w:val="22"/>
        </w:rPr>
      </w:pPr>
      <w:r w:rsidRPr="00BB3B07">
        <w:rPr>
          <w:rFonts w:ascii="Arial" w:hAnsi="Arial" w:cs="Arial"/>
          <w:b/>
          <w:sz w:val="22"/>
          <w:szCs w:val="22"/>
        </w:rPr>
        <w:t xml:space="preserve">Investment in Major Projects </w:t>
      </w:r>
    </w:p>
    <w:p w:rsidR="009F7F1C" w:rsidRPr="00BB3B07" w:rsidRDefault="009F3450" w:rsidP="00D240A9">
      <w:pPr>
        <w:ind w:left="567" w:right="-143"/>
        <w:jc w:val="center"/>
        <w:rPr>
          <w:rFonts w:ascii="Arial" w:hAnsi="Arial" w:cs="Arial"/>
          <w:sz w:val="22"/>
          <w:szCs w:val="22"/>
        </w:rPr>
      </w:pPr>
      <w:r>
        <w:rPr>
          <w:rFonts w:ascii="Arial" w:hAnsi="Arial" w:cs="Arial"/>
          <w:sz w:val="22"/>
          <w:szCs w:val="22"/>
        </w:rPr>
        <w:t xml:space="preserve">(as </w:t>
      </w:r>
      <w:r w:rsidR="00BB3B07" w:rsidRPr="00BB3B07">
        <w:rPr>
          <w:rFonts w:ascii="Arial" w:hAnsi="Arial" w:cs="Arial"/>
          <w:sz w:val="22"/>
          <w:szCs w:val="22"/>
        </w:rPr>
        <w:t>at 28 February 2015</w:t>
      </w:r>
      <w:r w:rsidR="009F7F1C" w:rsidRPr="00BB3B07">
        <w:rPr>
          <w:rFonts w:ascii="Arial" w:hAnsi="Arial" w:cs="Arial"/>
          <w:sz w:val="22"/>
          <w:szCs w:val="22"/>
        </w:rPr>
        <w:t>)</w:t>
      </w:r>
    </w:p>
    <w:p w:rsidR="009F7F1C" w:rsidRPr="00BB3B07" w:rsidRDefault="009F7F1C" w:rsidP="00D240A9">
      <w:pPr>
        <w:autoSpaceDE w:val="0"/>
        <w:autoSpaceDN w:val="0"/>
        <w:adjustRightInd w:val="0"/>
        <w:ind w:left="567"/>
        <w:rPr>
          <w:rFonts w:ascii="Arial" w:hAnsi="Arial" w:cs="Arial"/>
          <w:sz w:val="22"/>
          <w:szCs w:val="22"/>
        </w:rPr>
      </w:pPr>
    </w:p>
    <w:tbl>
      <w:tblPr>
        <w:tblW w:w="8059" w:type="dxa"/>
        <w:jc w:val="center"/>
        <w:tblInd w:w="93" w:type="dxa"/>
        <w:tblLook w:val="04A0" w:firstRow="1" w:lastRow="0" w:firstColumn="1" w:lastColumn="0" w:noHBand="0" w:noVBand="1"/>
      </w:tblPr>
      <w:tblGrid>
        <w:gridCol w:w="4207"/>
        <w:gridCol w:w="2152"/>
        <w:gridCol w:w="2032"/>
      </w:tblGrid>
      <w:tr w:rsidR="00BB3B07" w:rsidRPr="00BB3B07" w:rsidTr="009F7F1C">
        <w:trPr>
          <w:trHeight w:val="371"/>
          <w:jc w:val="center"/>
        </w:trPr>
        <w:tc>
          <w:tcPr>
            <w:tcW w:w="4207" w:type="dxa"/>
            <w:shd w:val="clear" w:color="000000" w:fill="FFCC99"/>
            <w:noWrap/>
            <w:vAlign w:val="center"/>
            <w:hideMark/>
          </w:tcPr>
          <w:p w:rsidR="009F7F1C" w:rsidRPr="00BB3B07" w:rsidRDefault="009F7F1C" w:rsidP="00D240A9">
            <w:pPr>
              <w:ind w:left="567"/>
              <w:rPr>
                <w:rFonts w:ascii="Arial" w:hAnsi="Arial" w:cs="Arial"/>
                <w:b/>
                <w:sz w:val="22"/>
                <w:szCs w:val="22"/>
              </w:rPr>
            </w:pPr>
            <w:r w:rsidRPr="00BB3B07">
              <w:rPr>
                <w:rFonts w:ascii="Arial" w:hAnsi="Arial" w:cs="Arial"/>
                <w:b/>
                <w:sz w:val="22"/>
                <w:szCs w:val="22"/>
              </w:rPr>
              <w:t>MAJOR PROJECTS</w:t>
            </w:r>
          </w:p>
        </w:tc>
        <w:tc>
          <w:tcPr>
            <w:tcW w:w="3852" w:type="dxa"/>
            <w:gridSpan w:val="2"/>
            <w:shd w:val="clear" w:color="000000" w:fill="FFCC99"/>
            <w:vAlign w:val="center"/>
            <w:hideMark/>
          </w:tcPr>
          <w:p w:rsidR="009F7F1C" w:rsidRPr="00BB3B07" w:rsidRDefault="009F7F1C" w:rsidP="00D240A9">
            <w:pPr>
              <w:ind w:left="567"/>
              <w:rPr>
                <w:rFonts w:ascii="Arial" w:hAnsi="Arial" w:cs="Arial"/>
                <w:b/>
                <w:bCs/>
                <w:sz w:val="22"/>
                <w:szCs w:val="22"/>
              </w:rPr>
            </w:pPr>
            <w:r w:rsidRPr="00BB3B07">
              <w:rPr>
                <w:rFonts w:ascii="Arial" w:hAnsi="Arial" w:cs="Arial"/>
                <w:b/>
                <w:bCs/>
                <w:sz w:val="22"/>
                <w:szCs w:val="22"/>
              </w:rPr>
              <w:t>CAPEX MILLIONS</w:t>
            </w:r>
          </w:p>
        </w:tc>
      </w:tr>
      <w:tr w:rsidR="00BB3B07" w:rsidRPr="00BB3B07" w:rsidTr="00AD361B">
        <w:trPr>
          <w:trHeight w:val="204"/>
          <w:jc w:val="center"/>
        </w:trPr>
        <w:tc>
          <w:tcPr>
            <w:tcW w:w="4207" w:type="dxa"/>
            <w:shd w:val="clear" w:color="000000" w:fill="FFCC99"/>
            <w:noWrap/>
            <w:vAlign w:val="center"/>
            <w:hideMark/>
          </w:tcPr>
          <w:p w:rsidR="009F7F1C" w:rsidRPr="00BB3B07" w:rsidRDefault="009F7F1C" w:rsidP="00D240A9">
            <w:pPr>
              <w:ind w:left="567"/>
              <w:rPr>
                <w:rFonts w:ascii="Arial" w:hAnsi="Arial" w:cs="Arial"/>
                <w:b/>
                <w:bCs/>
                <w:sz w:val="22"/>
                <w:szCs w:val="22"/>
              </w:rPr>
            </w:pPr>
            <w:r w:rsidRPr="00BB3B07">
              <w:rPr>
                <w:rFonts w:ascii="Arial" w:hAnsi="Arial" w:cs="Arial"/>
                <w:sz w:val="22"/>
                <w:szCs w:val="22"/>
              </w:rPr>
              <w:br w:type="page"/>
            </w:r>
            <w:r w:rsidRPr="00BB3B07">
              <w:rPr>
                <w:rFonts w:ascii="Arial" w:hAnsi="Arial" w:cs="Arial"/>
                <w:b/>
                <w:bCs/>
                <w:sz w:val="22"/>
                <w:szCs w:val="22"/>
              </w:rPr>
              <w:t>Commodity</w:t>
            </w:r>
          </w:p>
        </w:tc>
        <w:tc>
          <w:tcPr>
            <w:tcW w:w="1820" w:type="dxa"/>
            <w:shd w:val="clear" w:color="000000" w:fill="FFCC99"/>
            <w:vAlign w:val="center"/>
            <w:hideMark/>
          </w:tcPr>
          <w:p w:rsidR="009F7F1C" w:rsidRPr="00BB3B07" w:rsidRDefault="009F7F1C" w:rsidP="00D240A9">
            <w:pPr>
              <w:ind w:left="567"/>
              <w:jc w:val="right"/>
              <w:rPr>
                <w:rFonts w:ascii="Arial" w:hAnsi="Arial" w:cs="Arial"/>
                <w:b/>
                <w:bCs/>
                <w:sz w:val="22"/>
                <w:szCs w:val="22"/>
              </w:rPr>
            </w:pPr>
            <w:r w:rsidRPr="00BB3B07">
              <w:rPr>
                <w:rFonts w:ascii="Arial" w:hAnsi="Arial" w:cs="Arial"/>
                <w:b/>
                <w:bCs/>
                <w:sz w:val="22"/>
                <w:szCs w:val="22"/>
              </w:rPr>
              <w:t>Committed/   Under Construction</w:t>
            </w:r>
          </w:p>
        </w:tc>
        <w:tc>
          <w:tcPr>
            <w:tcW w:w="2032" w:type="dxa"/>
            <w:shd w:val="clear" w:color="000000" w:fill="FFCC99"/>
            <w:vAlign w:val="center"/>
            <w:hideMark/>
          </w:tcPr>
          <w:p w:rsidR="009F7F1C" w:rsidRPr="00BB3B07" w:rsidRDefault="009F7F1C" w:rsidP="00D240A9">
            <w:pPr>
              <w:ind w:left="567"/>
              <w:jc w:val="right"/>
              <w:rPr>
                <w:rFonts w:ascii="Arial" w:hAnsi="Arial" w:cs="Arial"/>
                <w:b/>
                <w:bCs/>
                <w:sz w:val="22"/>
                <w:szCs w:val="22"/>
              </w:rPr>
            </w:pPr>
            <w:r w:rsidRPr="00BB3B07">
              <w:rPr>
                <w:rFonts w:ascii="Arial" w:hAnsi="Arial" w:cs="Arial"/>
                <w:b/>
                <w:bCs/>
                <w:sz w:val="22"/>
                <w:szCs w:val="22"/>
              </w:rPr>
              <w:t>Planned/   Possible</w:t>
            </w:r>
          </w:p>
        </w:tc>
      </w:tr>
      <w:tr w:rsidR="00BB3B07" w:rsidRPr="00BB3B07" w:rsidTr="00AD361B">
        <w:trPr>
          <w:trHeight w:val="80"/>
          <w:jc w:val="center"/>
        </w:trPr>
        <w:tc>
          <w:tcPr>
            <w:tcW w:w="4207" w:type="dxa"/>
            <w:shd w:val="clear" w:color="auto" w:fill="auto"/>
            <w:noWrap/>
            <w:vAlign w:val="center"/>
            <w:hideMark/>
          </w:tcPr>
          <w:p w:rsidR="009F7F1C" w:rsidRPr="00923A05" w:rsidRDefault="009F7F1C" w:rsidP="00D240A9">
            <w:pPr>
              <w:ind w:left="567"/>
              <w:rPr>
                <w:rFonts w:ascii="Arial" w:hAnsi="Arial" w:cs="Arial"/>
                <w:sz w:val="22"/>
                <w:szCs w:val="22"/>
              </w:rPr>
            </w:pPr>
            <w:r w:rsidRPr="00923A05">
              <w:rPr>
                <w:rFonts w:ascii="Arial" w:hAnsi="Arial" w:cs="Arial"/>
                <w:sz w:val="22"/>
                <w:szCs w:val="22"/>
              </w:rPr>
              <w:t>Gold</w:t>
            </w:r>
          </w:p>
        </w:tc>
        <w:tc>
          <w:tcPr>
            <w:tcW w:w="1820" w:type="dxa"/>
            <w:shd w:val="clear" w:color="auto" w:fill="auto"/>
            <w:noWrap/>
            <w:vAlign w:val="bottom"/>
            <w:hideMark/>
          </w:tcPr>
          <w:p w:rsidR="009F7F1C" w:rsidRPr="00CE47F2" w:rsidRDefault="00923A05" w:rsidP="00D240A9">
            <w:pPr>
              <w:ind w:left="567"/>
              <w:jc w:val="right"/>
              <w:rPr>
                <w:rFonts w:ascii="Arial" w:hAnsi="Arial" w:cs="Arial"/>
                <w:sz w:val="22"/>
                <w:szCs w:val="22"/>
              </w:rPr>
            </w:pPr>
            <w:r w:rsidRPr="00CE47F2">
              <w:rPr>
                <w:rFonts w:ascii="Arial" w:hAnsi="Arial" w:cs="Arial"/>
                <w:sz w:val="22"/>
                <w:szCs w:val="22"/>
              </w:rPr>
              <w:t>117</w:t>
            </w:r>
          </w:p>
        </w:tc>
        <w:tc>
          <w:tcPr>
            <w:tcW w:w="2032" w:type="dxa"/>
            <w:shd w:val="clear" w:color="auto" w:fill="auto"/>
            <w:noWrap/>
            <w:vAlign w:val="bottom"/>
            <w:hideMark/>
          </w:tcPr>
          <w:p w:rsidR="009F7F1C" w:rsidRPr="00CE47F2" w:rsidRDefault="00923A05" w:rsidP="00D240A9">
            <w:pPr>
              <w:ind w:left="567"/>
              <w:jc w:val="right"/>
              <w:rPr>
                <w:rFonts w:ascii="Arial" w:hAnsi="Arial" w:cs="Arial"/>
                <w:sz w:val="22"/>
                <w:szCs w:val="22"/>
              </w:rPr>
            </w:pPr>
            <w:r w:rsidRPr="00CE47F2">
              <w:rPr>
                <w:rFonts w:ascii="Arial" w:hAnsi="Arial" w:cs="Arial"/>
                <w:sz w:val="22"/>
                <w:szCs w:val="22"/>
              </w:rPr>
              <w:t>3,430</w:t>
            </w:r>
          </w:p>
        </w:tc>
      </w:tr>
      <w:tr w:rsidR="00BB3B07" w:rsidRPr="00BB3B07" w:rsidTr="00AD361B">
        <w:trPr>
          <w:trHeight w:val="80"/>
          <w:jc w:val="center"/>
        </w:trPr>
        <w:tc>
          <w:tcPr>
            <w:tcW w:w="4207" w:type="dxa"/>
            <w:shd w:val="clear" w:color="auto" w:fill="auto"/>
            <w:noWrap/>
            <w:vAlign w:val="center"/>
            <w:hideMark/>
          </w:tcPr>
          <w:p w:rsidR="009F7F1C" w:rsidRPr="00923A05" w:rsidRDefault="009F7F1C" w:rsidP="00D240A9">
            <w:pPr>
              <w:ind w:left="567"/>
              <w:rPr>
                <w:rFonts w:ascii="Arial" w:hAnsi="Arial" w:cs="Arial"/>
                <w:sz w:val="22"/>
                <w:szCs w:val="22"/>
              </w:rPr>
            </w:pPr>
            <w:r w:rsidRPr="00923A05">
              <w:rPr>
                <w:rFonts w:ascii="Arial" w:hAnsi="Arial" w:cs="Arial"/>
                <w:sz w:val="22"/>
                <w:szCs w:val="22"/>
              </w:rPr>
              <w:t>Iron Ore</w:t>
            </w:r>
          </w:p>
        </w:tc>
        <w:tc>
          <w:tcPr>
            <w:tcW w:w="1820" w:type="dxa"/>
            <w:shd w:val="clear" w:color="auto" w:fill="auto"/>
            <w:noWrap/>
            <w:vAlign w:val="bottom"/>
            <w:hideMark/>
          </w:tcPr>
          <w:p w:rsidR="009F7F1C" w:rsidRPr="00CE47F2" w:rsidRDefault="00923A05" w:rsidP="00D240A9">
            <w:pPr>
              <w:ind w:left="567"/>
              <w:jc w:val="right"/>
              <w:rPr>
                <w:rFonts w:ascii="Arial" w:hAnsi="Arial" w:cs="Arial"/>
                <w:sz w:val="22"/>
                <w:szCs w:val="22"/>
              </w:rPr>
            </w:pPr>
            <w:r w:rsidRPr="00CE47F2">
              <w:rPr>
                <w:rFonts w:ascii="Arial" w:hAnsi="Arial" w:cs="Arial"/>
                <w:sz w:val="22"/>
                <w:szCs w:val="22"/>
              </w:rPr>
              <w:t>13,946</w:t>
            </w:r>
          </w:p>
        </w:tc>
        <w:tc>
          <w:tcPr>
            <w:tcW w:w="2032" w:type="dxa"/>
            <w:shd w:val="clear" w:color="auto" w:fill="auto"/>
            <w:noWrap/>
            <w:vAlign w:val="bottom"/>
            <w:hideMark/>
          </w:tcPr>
          <w:p w:rsidR="009F7F1C" w:rsidRPr="00CE47F2" w:rsidRDefault="00923A05" w:rsidP="00D240A9">
            <w:pPr>
              <w:ind w:left="567"/>
              <w:jc w:val="right"/>
              <w:rPr>
                <w:rFonts w:ascii="Arial" w:hAnsi="Arial" w:cs="Arial"/>
                <w:sz w:val="22"/>
                <w:szCs w:val="22"/>
              </w:rPr>
            </w:pPr>
            <w:r w:rsidRPr="00CE47F2">
              <w:rPr>
                <w:rFonts w:ascii="Arial" w:hAnsi="Arial" w:cs="Arial"/>
                <w:sz w:val="22"/>
                <w:szCs w:val="22"/>
              </w:rPr>
              <w:t>15,658</w:t>
            </w:r>
          </w:p>
        </w:tc>
      </w:tr>
      <w:tr w:rsidR="00BB3B07" w:rsidRPr="00BB3B07" w:rsidTr="00AD361B">
        <w:trPr>
          <w:trHeight w:val="80"/>
          <w:jc w:val="center"/>
        </w:trPr>
        <w:tc>
          <w:tcPr>
            <w:tcW w:w="4207" w:type="dxa"/>
            <w:shd w:val="clear" w:color="auto" w:fill="auto"/>
            <w:noWrap/>
            <w:vAlign w:val="center"/>
            <w:hideMark/>
          </w:tcPr>
          <w:p w:rsidR="009F7F1C" w:rsidRPr="00923A05" w:rsidRDefault="009F7F1C" w:rsidP="00D240A9">
            <w:pPr>
              <w:ind w:left="567"/>
              <w:rPr>
                <w:rFonts w:ascii="Arial" w:hAnsi="Arial" w:cs="Arial"/>
                <w:sz w:val="22"/>
                <w:szCs w:val="22"/>
              </w:rPr>
            </w:pPr>
            <w:r w:rsidRPr="00923A05">
              <w:rPr>
                <w:rFonts w:ascii="Arial" w:hAnsi="Arial" w:cs="Arial"/>
                <w:sz w:val="22"/>
                <w:szCs w:val="22"/>
              </w:rPr>
              <w:t>Nickel</w:t>
            </w:r>
          </w:p>
        </w:tc>
        <w:tc>
          <w:tcPr>
            <w:tcW w:w="1820" w:type="dxa"/>
            <w:shd w:val="clear" w:color="auto" w:fill="auto"/>
            <w:noWrap/>
            <w:vAlign w:val="bottom"/>
            <w:hideMark/>
          </w:tcPr>
          <w:p w:rsidR="009F7F1C" w:rsidRPr="00CE47F2" w:rsidRDefault="00923A05" w:rsidP="00D240A9">
            <w:pPr>
              <w:ind w:left="567"/>
              <w:jc w:val="right"/>
              <w:rPr>
                <w:rFonts w:ascii="Arial" w:hAnsi="Arial" w:cs="Arial"/>
                <w:sz w:val="22"/>
                <w:szCs w:val="22"/>
              </w:rPr>
            </w:pPr>
            <w:r w:rsidRPr="00CE47F2">
              <w:rPr>
                <w:rFonts w:ascii="Arial" w:hAnsi="Arial" w:cs="Arial"/>
                <w:sz w:val="22"/>
                <w:szCs w:val="22"/>
              </w:rPr>
              <w:t>471</w:t>
            </w:r>
          </w:p>
        </w:tc>
        <w:tc>
          <w:tcPr>
            <w:tcW w:w="2032" w:type="dxa"/>
            <w:shd w:val="clear" w:color="auto" w:fill="auto"/>
            <w:noWrap/>
            <w:vAlign w:val="bottom"/>
            <w:hideMark/>
          </w:tcPr>
          <w:p w:rsidR="009F7F1C" w:rsidRPr="00CE47F2" w:rsidRDefault="00923A05" w:rsidP="00D240A9">
            <w:pPr>
              <w:ind w:left="567"/>
              <w:jc w:val="right"/>
              <w:rPr>
                <w:rFonts w:ascii="Arial" w:hAnsi="Arial" w:cs="Arial"/>
                <w:sz w:val="22"/>
                <w:szCs w:val="22"/>
              </w:rPr>
            </w:pPr>
            <w:r w:rsidRPr="00CE47F2">
              <w:rPr>
                <w:rFonts w:ascii="Arial" w:hAnsi="Arial" w:cs="Arial"/>
                <w:sz w:val="22"/>
                <w:szCs w:val="22"/>
              </w:rPr>
              <w:t>3,350</w:t>
            </w:r>
          </w:p>
        </w:tc>
      </w:tr>
      <w:tr w:rsidR="00BB3B07" w:rsidRPr="00BB3B07" w:rsidTr="00AD361B">
        <w:trPr>
          <w:trHeight w:val="325"/>
          <w:jc w:val="center"/>
        </w:trPr>
        <w:tc>
          <w:tcPr>
            <w:tcW w:w="4207" w:type="dxa"/>
            <w:shd w:val="clear" w:color="auto" w:fill="auto"/>
            <w:vAlign w:val="center"/>
            <w:hideMark/>
          </w:tcPr>
          <w:p w:rsidR="009F7F1C" w:rsidRPr="00923A05" w:rsidRDefault="009F7F1C" w:rsidP="00D240A9">
            <w:pPr>
              <w:ind w:left="567"/>
              <w:rPr>
                <w:rFonts w:ascii="Arial" w:hAnsi="Arial" w:cs="Arial"/>
                <w:sz w:val="22"/>
                <w:szCs w:val="22"/>
              </w:rPr>
            </w:pPr>
            <w:r w:rsidRPr="00923A05">
              <w:rPr>
                <w:rFonts w:ascii="Arial" w:hAnsi="Arial" w:cs="Arial"/>
                <w:sz w:val="22"/>
                <w:szCs w:val="22"/>
              </w:rPr>
              <w:t>Other Minerals and Infrastructure</w:t>
            </w:r>
          </w:p>
        </w:tc>
        <w:tc>
          <w:tcPr>
            <w:tcW w:w="1820" w:type="dxa"/>
            <w:shd w:val="clear" w:color="auto" w:fill="auto"/>
            <w:noWrap/>
            <w:vAlign w:val="center"/>
            <w:hideMark/>
          </w:tcPr>
          <w:p w:rsidR="009F7F1C" w:rsidRPr="00CE47F2" w:rsidRDefault="00923A05" w:rsidP="00D240A9">
            <w:pPr>
              <w:ind w:left="567"/>
              <w:jc w:val="right"/>
              <w:rPr>
                <w:rFonts w:ascii="Arial" w:hAnsi="Arial" w:cs="Arial"/>
                <w:sz w:val="22"/>
                <w:szCs w:val="22"/>
              </w:rPr>
            </w:pPr>
            <w:r w:rsidRPr="00CE47F2">
              <w:rPr>
                <w:rFonts w:ascii="Arial" w:hAnsi="Arial" w:cs="Arial"/>
                <w:sz w:val="22"/>
                <w:szCs w:val="22"/>
              </w:rPr>
              <w:t>12,234</w:t>
            </w:r>
          </w:p>
        </w:tc>
        <w:tc>
          <w:tcPr>
            <w:tcW w:w="2032" w:type="dxa"/>
            <w:shd w:val="clear" w:color="auto" w:fill="auto"/>
            <w:noWrap/>
            <w:vAlign w:val="center"/>
            <w:hideMark/>
          </w:tcPr>
          <w:p w:rsidR="009F7F1C" w:rsidRPr="00CE47F2" w:rsidRDefault="00923A05" w:rsidP="00D240A9">
            <w:pPr>
              <w:ind w:left="567"/>
              <w:jc w:val="right"/>
              <w:rPr>
                <w:rFonts w:ascii="Arial" w:hAnsi="Arial" w:cs="Arial"/>
                <w:sz w:val="22"/>
                <w:szCs w:val="22"/>
              </w:rPr>
            </w:pPr>
            <w:r w:rsidRPr="00CE47F2">
              <w:rPr>
                <w:rFonts w:ascii="Arial" w:hAnsi="Arial" w:cs="Arial"/>
                <w:sz w:val="22"/>
                <w:szCs w:val="22"/>
              </w:rPr>
              <w:t>20,277</w:t>
            </w:r>
          </w:p>
        </w:tc>
      </w:tr>
      <w:tr w:rsidR="00BB3B07" w:rsidRPr="00BB3B07" w:rsidTr="00AD361B">
        <w:trPr>
          <w:trHeight w:val="80"/>
          <w:jc w:val="center"/>
        </w:trPr>
        <w:tc>
          <w:tcPr>
            <w:tcW w:w="4207" w:type="dxa"/>
            <w:shd w:val="clear" w:color="000000" w:fill="FFCC99"/>
            <w:noWrap/>
            <w:vAlign w:val="center"/>
            <w:hideMark/>
          </w:tcPr>
          <w:p w:rsidR="009F7F1C" w:rsidRPr="00923A05" w:rsidRDefault="009F7F1C" w:rsidP="00D240A9">
            <w:pPr>
              <w:ind w:left="567"/>
              <w:rPr>
                <w:rFonts w:ascii="Arial" w:hAnsi="Arial" w:cs="Arial"/>
                <w:b/>
                <w:sz w:val="22"/>
                <w:szCs w:val="22"/>
              </w:rPr>
            </w:pPr>
            <w:r w:rsidRPr="00923A05">
              <w:rPr>
                <w:rFonts w:ascii="Arial" w:hAnsi="Arial" w:cs="Arial"/>
                <w:sz w:val="22"/>
                <w:szCs w:val="22"/>
              </w:rPr>
              <w:t> </w:t>
            </w:r>
            <w:r w:rsidRPr="00923A05">
              <w:rPr>
                <w:rStyle w:val="bold1"/>
                <w:rFonts w:ascii="Arial" w:hAnsi="Arial" w:cs="Arial"/>
                <w:sz w:val="22"/>
                <w:szCs w:val="22"/>
              </w:rPr>
              <w:t>Sub Total</w:t>
            </w:r>
          </w:p>
        </w:tc>
        <w:tc>
          <w:tcPr>
            <w:tcW w:w="1820" w:type="dxa"/>
            <w:shd w:val="clear" w:color="000000" w:fill="FFCC99"/>
            <w:noWrap/>
            <w:vAlign w:val="bottom"/>
            <w:hideMark/>
          </w:tcPr>
          <w:p w:rsidR="009F7F1C" w:rsidRPr="00CE47F2" w:rsidRDefault="00923A05" w:rsidP="00D240A9">
            <w:pPr>
              <w:ind w:left="567"/>
              <w:jc w:val="right"/>
              <w:rPr>
                <w:rFonts w:ascii="Arial" w:hAnsi="Arial" w:cs="Arial"/>
                <w:b/>
                <w:bCs/>
                <w:sz w:val="22"/>
                <w:szCs w:val="22"/>
              </w:rPr>
            </w:pPr>
            <w:r w:rsidRPr="00CE47F2">
              <w:rPr>
                <w:rFonts w:ascii="Arial" w:hAnsi="Arial" w:cs="Arial"/>
                <w:b/>
                <w:bCs/>
                <w:sz w:val="22"/>
                <w:szCs w:val="22"/>
              </w:rPr>
              <w:t>26,768</w:t>
            </w:r>
          </w:p>
        </w:tc>
        <w:tc>
          <w:tcPr>
            <w:tcW w:w="2032" w:type="dxa"/>
            <w:shd w:val="clear" w:color="000000" w:fill="FFCC99"/>
            <w:noWrap/>
            <w:vAlign w:val="bottom"/>
            <w:hideMark/>
          </w:tcPr>
          <w:p w:rsidR="009F7F1C" w:rsidRPr="00CE47F2" w:rsidRDefault="00923A05" w:rsidP="00D240A9">
            <w:pPr>
              <w:ind w:left="567"/>
              <w:jc w:val="right"/>
              <w:rPr>
                <w:rFonts w:ascii="Arial" w:hAnsi="Arial" w:cs="Arial"/>
                <w:b/>
                <w:bCs/>
                <w:sz w:val="22"/>
                <w:szCs w:val="22"/>
              </w:rPr>
            </w:pPr>
            <w:r w:rsidRPr="00CE47F2">
              <w:rPr>
                <w:rFonts w:ascii="Arial" w:hAnsi="Arial" w:cs="Arial"/>
                <w:b/>
                <w:bCs/>
                <w:sz w:val="22"/>
                <w:szCs w:val="22"/>
              </w:rPr>
              <w:t>42,715</w:t>
            </w:r>
          </w:p>
        </w:tc>
      </w:tr>
      <w:tr w:rsidR="00BB3B07" w:rsidRPr="00BB3B07" w:rsidTr="00AD361B">
        <w:trPr>
          <w:trHeight w:val="80"/>
          <w:jc w:val="center"/>
        </w:trPr>
        <w:tc>
          <w:tcPr>
            <w:tcW w:w="4207" w:type="dxa"/>
            <w:shd w:val="clear" w:color="auto" w:fill="auto"/>
            <w:noWrap/>
            <w:vAlign w:val="center"/>
            <w:hideMark/>
          </w:tcPr>
          <w:p w:rsidR="009F7F1C" w:rsidRPr="00923A05" w:rsidRDefault="009F7F1C" w:rsidP="00D240A9">
            <w:pPr>
              <w:ind w:left="567"/>
              <w:rPr>
                <w:rFonts w:ascii="Arial" w:hAnsi="Arial" w:cs="Arial"/>
                <w:sz w:val="22"/>
                <w:szCs w:val="22"/>
              </w:rPr>
            </w:pPr>
            <w:r w:rsidRPr="00923A05">
              <w:rPr>
                <w:rFonts w:ascii="Arial" w:hAnsi="Arial" w:cs="Arial"/>
                <w:sz w:val="22"/>
                <w:szCs w:val="22"/>
              </w:rPr>
              <w:t>Crude Oil and Condensate</w:t>
            </w:r>
          </w:p>
        </w:tc>
        <w:tc>
          <w:tcPr>
            <w:tcW w:w="1820" w:type="dxa"/>
            <w:shd w:val="clear" w:color="auto" w:fill="auto"/>
            <w:noWrap/>
            <w:vAlign w:val="bottom"/>
            <w:hideMark/>
          </w:tcPr>
          <w:p w:rsidR="009F7F1C" w:rsidRPr="00CE47F2" w:rsidRDefault="00923A05" w:rsidP="00D240A9">
            <w:pPr>
              <w:ind w:left="567"/>
              <w:jc w:val="right"/>
              <w:rPr>
                <w:rFonts w:ascii="Arial" w:hAnsi="Arial" w:cs="Arial"/>
                <w:sz w:val="22"/>
                <w:szCs w:val="22"/>
              </w:rPr>
            </w:pPr>
            <w:r w:rsidRPr="00CE47F2">
              <w:rPr>
                <w:rFonts w:ascii="Arial" w:hAnsi="Arial" w:cs="Arial"/>
                <w:sz w:val="22"/>
                <w:szCs w:val="22"/>
              </w:rPr>
              <w:t>683</w:t>
            </w:r>
          </w:p>
        </w:tc>
        <w:tc>
          <w:tcPr>
            <w:tcW w:w="2032" w:type="dxa"/>
            <w:shd w:val="clear" w:color="auto" w:fill="auto"/>
            <w:noWrap/>
            <w:vAlign w:val="bottom"/>
            <w:hideMark/>
          </w:tcPr>
          <w:p w:rsidR="009F7F1C" w:rsidRPr="00CE47F2" w:rsidRDefault="00923A05" w:rsidP="00D240A9">
            <w:pPr>
              <w:ind w:left="567"/>
              <w:jc w:val="right"/>
              <w:rPr>
                <w:rFonts w:ascii="Arial" w:hAnsi="Arial" w:cs="Arial"/>
                <w:sz w:val="22"/>
                <w:szCs w:val="22"/>
              </w:rPr>
            </w:pPr>
            <w:r w:rsidRPr="00CE47F2">
              <w:rPr>
                <w:rFonts w:ascii="Arial" w:hAnsi="Arial" w:cs="Arial"/>
                <w:sz w:val="22"/>
                <w:szCs w:val="22"/>
              </w:rPr>
              <w:t>1,114</w:t>
            </w:r>
          </w:p>
        </w:tc>
      </w:tr>
      <w:tr w:rsidR="00BB3B07" w:rsidRPr="00BB3B07" w:rsidTr="00AD361B">
        <w:trPr>
          <w:trHeight w:val="80"/>
          <w:jc w:val="center"/>
        </w:trPr>
        <w:tc>
          <w:tcPr>
            <w:tcW w:w="4207" w:type="dxa"/>
            <w:shd w:val="clear" w:color="auto" w:fill="auto"/>
            <w:noWrap/>
            <w:vAlign w:val="center"/>
            <w:hideMark/>
          </w:tcPr>
          <w:p w:rsidR="009F7F1C" w:rsidRPr="00923A05" w:rsidRDefault="003B75F6" w:rsidP="00D240A9">
            <w:pPr>
              <w:ind w:left="567"/>
              <w:rPr>
                <w:rFonts w:ascii="Arial" w:hAnsi="Arial" w:cs="Arial"/>
                <w:sz w:val="22"/>
                <w:szCs w:val="22"/>
              </w:rPr>
            </w:pPr>
            <w:r w:rsidRPr="00923A05">
              <w:rPr>
                <w:rFonts w:ascii="Arial" w:hAnsi="Arial" w:cs="Arial"/>
                <w:sz w:val="22"/>
                <w:szCs w:val="22"/>
              </w:rPr>
              <w:t>Gas</w:t>
            </w:r>
          </w:p>
        </w:tc>
        <w:tc>
          <w:tcPr>
            <w:tcW w:w="1820" w:type="dxa"/>
            <w:shd w:val="clear" w:color="auto" w:fill="auto"/>
            <w:noWrap/>
            <w:vAlign w:val="bottom"/>
            <w:hideMark/>
          </w:tcPr>
          <w:p w:rsidR="009F7F1C" w:rsidRPr="00CE47F2" w:rsidRDefault="00923A05" w:rsidP="00D240A9">
            <w:pPr>
              <w:ind w:left="567"/>
              <w:jc w:val="right"/>
              <w:rPr>
                <w:rFonts w:ascii="Arial" w:hAnsi="Arial" w:cs="Arial"/>
                <w:sz w:val="22"/>
                <w:szCs w:val="22"/>
              </w:rPr>
            </w:pPr>
            <w:r w:rsidRPr="00CE47F2">
              <w:rPr>
                <w:rFonts w:ascii="Arial" w:hAnsi="Arial" w:cs="Arial"/>
                <w:sz w:val="22"/>
                <w:szCs w:val="22"/>
              </w:rPr>
              <w:t>2,971</w:t>
            </w:r>
          </w:p>
        </w:tc>
        <w:tc>
          <w:tcPr>
            <w:tcW w:w="2032" w:type="dxa"/>
            <w:shd w:val="clear" w:color="auto" w:fill="auto"/>
            <w:noWrap/>
            <w:vAlign w:val="bottom"/>
            <w:hideMark/>
          </w:tcPr>
          <w:p w:rsidR="009F7F1C" w:rsidRPr="00CE47F2" w:rsidRDefault="00923A05" w:rsidP="00D240A9">
            <w:pPr>
              <w:ind w:left="567"/>
              <w:jc w:val="right"/>
              <w:rPr>
                <w:rFonts w:ascii="Arial" w:hAnsi="Arial" w:cs="Arial"/>
                <w:sz w:val="22"/>
                <w:szCs w:val="22"/>
              </w:rPr>
            </w:pPr>
            <w:r w:rsidRPr="00CE47F2">
              <w:rPr>
                <w:rFonts w:ascii="Arial" w:hAnsi="Arial" w:cs="Arial"/>
                <w:sz w:val="22"/>
                <w:szCs w:val="22"/>
              </w:rPr>
              <w:t>117</w:t>
            </w:r>
          </w:p>
        </w:tc>
      </w:tr>
      <w:tr w:rsidR="00BB3B07" w:rsidRPr="00BB3B07" w:rsidTr="00AD361B">
        <w:trPr>
          <w:trHeight w:val="80"/>
          <w:jc w:val="center"/>
        </w:trPr>
        <w:tc>
          <w:tcPr>
            <w:tcW w:w="4207" w:type="dxa"/>
            <w:shd w:val="clear" w:color="auto" w:fill="auto"/>
            <w:noWrap/>
            <w:vAlign w:val="center"/>
            <w:hideMark/>
          </w:tcPr>
          <w:p w:rsidR="009F7F1C" w:rsidRPr="00923A05" w:rsidRDefault="003B75F6" w:rsidP="00D240A9">
            <w:pPr>
              <w:ind w:left="567"/>
              <w:rPr>
                <w:rFonts w:ascii="Arial" w:hAnsi="Arial" w:cs="Arial"/>
                <w:sz w:val="22"/>
                <w:szCs w:val="22"/>
              </w:rPr>
            </w:pPr>
            <w:r w:rsidRPr="00923A05">
              <w:rPr>
                <w:rFonts w:ascii="Arial" w:hAnsi="Arial" w:cs="Arial"/>
                <w:sz w:val="22"/>
                <w:szCs w:val="22"/>
              </w:rPr>
              <w:t>LNG</w:t>
            </w:r>
          </w:p>
        </w:tc>
        <w:tc>
          <w:tcPr>
            <w:tcW w:w="1820" w:type="dxa"/>
            <w:shd w:val="clear" w:color="auto" w:fill="auto"/>
            <w:noWrap/>
            <w:vAlign w:val="bottom"/>
            <w:hideMark/>
          </w:tcPr>
          <w:p w:rsidR="009F7F1C" w:rsidRPr="00CE47F2" w:rsidRDefault="009B5F18" w:rsidP="00D240A9">
            <w:pPr>
              <w:ind w:left="567"/>
              <w:jc w:val="right"/>
              <w:rPr>
                <w:rFonts w:ascii="Arial" w:hAnsi="Arial" w:cs="Arial"/>
                <w:sz w:val="22"/>
                <w:szCs w:val="22"/>
              </w:rPr>
            </w:pPr>
            <w:r w:rsidRPr="00CE47F2">
              <w:rPr>
                <w:rFonts w:ascii="Arial" w:hAnsi="Arial" w:cs="Arial"/>
                <w:sz w:val="22"/>
                <w:szCs w:val="22"/>
              </w:rPr>
              <w:t>148,403</w:t>
            </w:r>
          </w:p>
        </w:tc>
        <w:tc>
          <w:tcPr>
            <w:tcW w:w="2032" w:type="dxa"/>
            <w:shd w:val="clear" w:color="auto" w:fill="auto"/>
            <w:noWrap/>
            <w:vAlign w:val="bottom"/>
            <w:hideMark/>
          </w:tcPr>
          <w:p w:rsidR="003B75F6" w:rsidRPr="00CE47F2" w:rsidRDefault="009B5F18" w:rsidP="00D240A9">
            <w:pPr>
              <w:ind w:left="567"/>
              <w:jc w:val="right"/>
              <w:rPr>
                <w:rFonts w:ascii="Arial" w:hAnsi="Arial" w:cs="Arial"/>
                <w:sz w:val="22"/>
                <w:szCs w:val="22"/>
              </w:rPr>
            </w:pPr>
            <w:r w:rsidRPr="00CE47F2">
              <w:rPr>
                <w:rFonts w:ascii="Arial" w:hAnsi="Arial" w:cs="Arial"/>
                <w:sz w:val="22"/>
                <w:szCs w:val="22"/>
              </w:rPr>
              <w:t>73,820</w:t>
            </w:r>
          </w:p>
        </w:tc>
      </w:tr>
      <w:tr w:rsidR="00BB3B07" w:rsidRPr="00BB3B07" w:rsidTr="00AD361B">
        <w:trPr>
          <w:trHeight w:val="80"/>
          <w:jc w:val="center"/>
        </w:trPr>
        <w:tc>
          <w:tcPr>
            <w:tcW w:w="4207" w:type="dxa"/>
            <w:shd w:val="clear" w:color="auto" w:fill="auto"/>
            <w:noWrap/>
            <w:vAlign w:val="center"/>
          </w:tcPr>
          <w:p w:rsidR="000002CD" w:rsidRPr="00923A05" w:rsidRDefault="000658D2" w:rsidP="003B75F6">
            <w:pPr>
              <w:ind w:left="567"/>
              <w:rPr>
                <w:rFonts w:ascii="Arial" w:hAnsi="Arial" w:cs="Arial"/>
                <w:sz w:val="22"/>
                <w:szCs w:val="22"/>
              </w:rPr>
            </w:pPr>
            <w:r w:rsidRPr="00923A05">
              <w:rPr>
                <w:rFonts w:ascii="Arial" w:hAnsi="Arial" w:cs="Arial"/>
                <w:sz w:val="22"/>
                <w:szCs w:val="22"/>
              </w:rPr>
              <w:t>Pipelines and Infrastructure</w:t>
            </w:r>
          </w:p>
        </w:tc>
        <w:tc>
          <w:tcPr>
            <w:tcW w:w="1820" w:type="dxa"/>
            <w:shd w:val="clear" w:color="auto" w:fill="auto"/>
            <w:noWrap/>
            <w:vAlign w:val="bottom"/>
          </w:tcPr>
          <w:p w:rsidR="000002CD" w:rsidRPr="00CE47F2" w:rsidRDefault="009B5F18" w:rsidP="000658D2">
            <w:pPr>
              <w:ind w:left="567"/>
              <w:jc w:val="right"/>
              <w:rPr>
                <w:rFonts w:ascii="Arial" w:hAnsi="Arial" w:cs="Arial"/>
                <w:sz w:val="22"/>
                <w:szCs w:val="22"/>
              </w:rPr>
            </w:pPr>
            <w:r w:rsidRPr="00CE47F2">
              <w:rPr>
                <w:rFonts w:ascii="Arial" w:hAnsi="Arial" w:cs="Arial"/>
                <w:sz w:val="22"/>
                <w:szCs w:val="22"/>
              </w:rPr>
              <w:t>140</w:t>
            </w:r>
          </w:p>
        </w:tc>
        <w:tc>
          <w:tcPr>
            <w:tcW w:w="2032" w:type="dxa"/>
            <w:shd w:val="clear" w:color="auto" w:fill="auto"/>
            <w:noWrap/>
            <w:vAlign w:val="bottom"/>
          </w:tcPr>
          <w:p w:rsidR="000002CD" w:rsidRPr="00CE47F2" w:rsidRDefault="009B5F18" w:rsidP="00D240A9">
            <w:pPr>
              <w:ind w:left="567"/>
              <w:jc w:val="right"/>
              <w:rPr>
                <w:rFonts w:ascii="Arial" w:hAnsi="Arial" w:cs="Arial"/>
                <w:sz w:val="22"/>
                <w:szCs w:val="22"/>
              </w:rPr>
            </w:pPr>
            <w:r w:rsidRPr="00CE47F2">
              <w:rPr>
                <w:rFonts w:ascii="Arial" w:hAnsi="Arial" w:cs="Arial"/>
                <w:sz w:val="22"/>
                <w:szCs w:val="22"/>
              </w:rPr>
              <w:t>635</w:t>
            </w:r>
          </w:p>
        </w:tc>
      </w:tr>
      <w:tr w:rsidR="00BB3B07" w:rsidRPr="00BB3B07" w:rsidTr="00AD361B">
        <w:trPr>
          <w:trHeight w:val="80"/>
          <w:jc w:val="center"/>
        </w:trPr>
        <w:tc>
          <w:tcPr>
            <w:tcW w:w="4207" w:type="dxa"/>
            <w:shd w:val="clear" w:color="auto" w:fill="auto"/>
            <w:noWrap/>
            <w:vAlign w:val="center"/>
            <w:hideMark/>
          </w:tcPr>
          <w:p w:rsidR="003B75F6" w:rsidRPr="00923A05" w:rsidRDefault="009B5F18" w:rsidP="003B75F6">
            <w:pPr>
              <w:ind w:left="567"/>
              <w:rPr>
                <w:rFonts w:ascii="Arial" w:hAnsi="Arial" w:cs="Arial"/>
                <w:sz w:val="22"/>
                <w:szCs w:val="22"/>
              </w:rPr>
            </w:pPr>
            <w:r>
              <w:rPr>
                <w:rFonts w:ascii="Arial" w:hAnsi="Arial" w:cs="Arial"/>
                <w:sz w:val="22"/>
                <w:szCs w:val="22"/>
              </w:rPr>
              <w:t>Other</w:t>
            </w:r>
          </w:p>
        </w:tc>
        <w:tc>
          <w:tcPr>
            <w:tcW w:w="1820" w:type="dxa"/>
            <w:shd w:val="clear" w:color="auto" w:fill="auto"/>
            <w:noWrap/>
            <w:vAlign w:val="bottom"/>
            <w:hideMark/>
          </w:tcPr>
          <w:p w:rsidR="009F7F1C" w:rsidRPr="00CE47F2" w:rsidRDefault="009B5F18" w:rsidP="00CC3689">
            <w:pPr>
              <w:ind w:left="567"/>
              <w:jc w:val="right"/>
              <w:rPr>
                <w:rFonts w:ascii="Arial" w:hAnsi="Arial" w:cs="Arial"/>
                <w:sz w:val="22"/>
                <w:szCs w:val="22"/>
              </w:rPr>
            </w:pPr>
            <w:r w:rsidRPr="00CE47F2">
              <w:rPr>
                <w:rFonts w:ascii="Arial" w:hAnsi="Arial" w:cs="Arial"/>
                <w:sz w:val="22"/>
                <w:szCs w:val="22"/>
              </w:rPr>
              <w:t>30</w:t>
            </w:r>
            <w:r w:rsidR="00CC3689" w:rsidRPr="00CE47F2">
              <w:rPr>
                <w:rFonts w:ascii="Arial" w:hAnsi="Arial" w:cs="Arial"/>
                <w:sz w:val="22"/>
                <w:szCs w:val="22"/>
              </w:rPr>
              <w:t>0</w:t>
            </w:r>
          </w:p>
        </w:tc>
        <w:tc>
          <w:tcPr>
            <w:tcW w:w="2032" w:type="dxa"/>
            <w:shd w:val="clear" w:color="auto" w:fill="auto"/>
            <w:noWrap/>
            <w:vAlign w:val="bottom"/>
            <w:hideMark/>
          </w:tcPr>
          <w:p w:rsidR="009F7F1C" w:rsidRPr="00CE47F2" w:rsidRDefault="009F7F1C" w:rsidP="00D240A9">
            <w:pPr>
              <w:ind w:left="567"/>
              <w:jc w:val="right"/>
              <w:rPr>
                <w:rFonts w:ascii="Arial" w:hAnsi="Arial" w:cs="Arial"/>
                <w:sz w:val="22"/>
                <w:szCs w:val="22"/>
              </w:rPr>
            </w:pPr>
          </w:p>
        </w:tc>
      </w:tr>
      <w:tr w:rsidR="00BB3B07" w:rsidRPr="00BB3B07" w:rsidTr="00AD361B">
        <w:trPr>
          <w:trHeight w:val="80"/>
          <w:jc w:val="center"/>
        </w:trPr>
        <w:tc>
          <w:tcPr>
            <w:tcW w:w="4207" w:type="dxa"/>
            <w:shd w:val="clear" w:color="000000" w:fill="FFCC99"/>
            <w:noWrap/>
            <w:vAlign w:val="center"/>
            <w:hideMark/>
          </w:tcPr>
          <w:p w:rsidR="009F7F1C" w:rsidRPr="00923A05" w:rsidRDefault="009F7F1C" w:rsidP="00D240A9">
            <w:pPr>
              <w:ind w:left="567"/>
              <w:rPr>
                <w:rFonts w:ascii="Arial" w:hAnsi="Arial" w:cs="Arial"/>
                <w:b/>
                <w:bCs/>
                <w:sz w:val="22"/>
                <w:szCs w:val="22"/>
              </w:rPr>
            </w:pPr>
            <w:r w:rsidRPr="00923A05">
              <w:rPr>
                <w:rStyle w:val="bold1"/>
                <w:rFonts w:ascii="Arial" w:hAnsi="Arial" w:cs="Arial"/>
                <w:sz w:val="22"/>
                <w:szCs w:val="22"/>
              </w:rPr>
              <w:t>Sub Total</w:t>
            </w:r>
          </w:p>
        </w:tc>
        <w:tc>
          <w:tcPr>
            <w:tcW w:w="1820" w:type="dxa"/>
            <w:shd w:val="clear" w:color="000000" w:fill="FFCC99"/>
            <w:noWrap/>
            <w:vAlign w:val="bottom"/>
            <w:hideMark/>
          </w:tcPr>
          <w:p w:rsidR="009F7F1C" w:rsidRPr="00CE47F2" w:rsidRDefault="009B5F18" w:rsidP="00D240A9">
            <w:pPr>
              <w:ind w:left="567"/>
              <w:jc w:val="right"/>
              <w:rPr>
                <w:rFonts w:ascii="Arial" w:hAnsi="Arial" w:cs="Arial"/>
                <w:b/>
                <w:bCs/>
                <w:sz w:val="22"/>
                <w:szCs w:val="22"/>
              </w:rPr>
            </w:pPr>
            <w:r w:rsidRPr="00CE47F2">
              <w:rPr>
                <w:rFonts w:ascii="Arial" w:hAnsi="Arial" w:cs="Arial"/>
                <w:b/>
                <w:bCs/>
                <w:sz w:val="22"/>
                <w:szCs w:val="22"/>
              </w:rPr>
              <w:t>152,497</w:t>
            </w:r>
          </w:p>
        </w:tc>
        <w:tc>
          <w:tcPr>
            <w:tcW w:w="2032" w:type="dxa"/>
            <w:shd w:val="clear" w:color="000000" w:fill="FFCC99"/>
            <w:noWrap/>
            <w:vAlign w:val="bottom"/>
            <w:hideMark/>
          </w:tcPr>
          <w:p w:rsidR="009F7F1C" w:rsidRPr="00CE47F2" w:rsidRDefault="009B5F18" w:rsidP="00D240A9">
            <w:pPr>
              <w:ind w:left="567"/>
              <w:jc w:val="right"/>
              <w:rPr>
                <w:rFonts w:ascii="Arial" w:hAnsi="Arial" w:cs="Arial"/>
                <w:b/>
                <w:bCs/>
                <w:sz w:val="22"/>
                <w:szCs w:val="22"/>
              </w:rPr>
            </w:pPr>
            <w:r w:rsidRPr="00CE47F2">
              <w:rPr>
                <w:rFonts w:ascii="Arial" w:hAnsi="Arial" w:cs="Arial"/>
                <w:b/>
                <w:bCs/>
                <w:sz w:val="22"/>
                <w:szCs w:val="22"/>
              </w:rPr>
              <w:t>75,686</w:t>
            </w:r>
          </w:p>
        </w:tc>
      </w:tr>
      <w:tr w:rsidR="00BB3B07" w:rsidRPr="00BB3B07" w:rsidTr="00AD361B">
        <w:trPr>
          <w:trHeight w:val="323"/>
          <w:jc w:val="center"/>
        </w:trPr>
        <w:tc>
          <w:tcPr>
            <w:tcW w:w="4207" w:type="dxa"/>
            <w:shd w:val="clear" w:color="000000" w:fill="FFCC99"/>
            <w:noWrap/>
            <w:vAlign w:val="center"/>
            <w:hideMark/>
          </w:tcPr>
          <w:p w:rsidR="009F7F1C" w:rsidRPr="00923A05" w:rsidRDefault="009F7F1C" w:rsidP="00D240A9">
            <w:pPr>
              <w:ind w:left="567"/>
              <w:rPr>
                <w:rFonts w:ascii="Arial" w:hAnsi="Arial" w:cs="Arial"/>
                <w:b/>
                <w:bCs/>
                <w:sz w:val="22"/>
                <w:szCs w:val="22"/>
              </w:rPr>
            </w:pPr>
            <w:r w:rsidRPr="00923A05">
              <w:rPr>
                <w:rFonts w:ascii="Arial" w:hAnsi="Arial" w:cs="Arial"/>
                <w:b/>
                <w:bCs/>
                <w:sz w:val="22"/>
                <w:szCs w:val="22"/>
              </w:rPr>
              <w:t>Total Forecast Investment</w:t>
            </w:r>
          </w:p>
        </w:tc>
        <w:tc>
          <w:tcPr>
            <w:tcW w:w="1820" w:type="dxa"/>
            <w:shd w:val="clear" w:color="000000" w:fill="FFCC99"/>
            <w:noWrap/>
            <w:vAlign w:val="bottom"/>
            <w:hideMark/>
          </w:tcPr>
          <w:p w:rsidR="009F7F1C" w:rsidRPr="00CE47F2" w:rsidRDefault="00CF53C9" w:rsidP="00D240A9">
            <w:pPr>
              <w:ind w:left="567"/>
              <w:jc w:val="right"/>
              <w:rPr>
                <w:rFonts w:ascii="Arial" w:hAnsi="Arial" w:cs="Arial"/>
                <w:b/>
                <w:bCs/>
                <w:sz w:val="22"/>
                <w:szCs w:val="22"/>
              </w:rPr>
            </w:pPr>
            <w:r w:rsidRPr="00CE47F2">
              <w:rPr>
                <w:rFonts w:ascii="Arial" w:hAnsi="Arial" w:cs="Arial"/>
                <w:b/>
                <w:bCs/>
                <w:sz w:val="22"/>
                <w:szCs w:val="22"/>
              </w:rPr>
              <w:t>179,265</w:t>
            </w:r>
          </w:p>
        </w:tc>
        <w:tc>
          <w:tcPr>
            <w:tcW w:w="2032" w:type="dxa"/>
            <w:shd w:val="clear" w:color="000000" w:fill="FFCC99"/>
            <w:noWrap/>
            <w:vAlign w:val="bottom"/>
            <w:hideMark/>
          </w:tcPr>
          <w:p w:rsidR="009F7F1C" w:rsidRPr="00CE47F2" w:rsidRDefault="00CF53C9" w:rsidP="00D240A9">
            <w:pPr>
              <w:ind w:left="567"/>
              <w:jc w:val="right"/>
              <w:rPr>
                <w:rFonts w:ascii="Arial" w:hAnsi="Arial" w:cs="Arial"/>
                <w:b/>
                <w:bCs/>
                <w:sz w:val="22"/>
                <w:szCs w:val="22"/>
              </w:rPr>
            </w:pPr>
            <w:r w:rsidRPr="00CE47F2">
              <w:rPr>
                <w:rFonts w:ascii="Arial" w:hAnsi="Arial" w:cs="Arial"/>
                <w:b/>
                <w:bCs/>
                <w:sz w:val="22"/>
                <w:szCs w:val="22"/>
              </w:rPr>
              <w:t>118,401</w:t>
            </w:r>
          </w:p>
        </w:tc>
      </w:tr>
    </w:tbl>
    <w:p w:rsidR="009F7F1C" w:rsidRPr="009C116C" w:rsidRDefault="009F7F1C" w:rsidP="00D240A9">
      <w:pPr>
        <w:ind w:left="567"/>
        <w:rPr>
          <w:rFonts w:ascii="Arial" w:hAnsi="Arial" w:cs="Arial"/>
          <w:color w:val="FF0000"/>
          <w:sz w:val="22"/>
          <w:szCs w:val="22"/>
        </w:rPr>
      </w:pPr>
    </w:p>
    <w:p w:rsidR="009F7F1C" w:rsidRPr="00D720AF" w:rsidRDefault="009F7F1C" w:rsidP="00D240A9">
      <w:pPr>
        <w:ind w:left="567"/>
        <w:rPr>
          <w:rFonts w:ascii="Arial" w:hAnsi="Arial" w:cs="Arial"/>
          <w:sz w:val="22"/>
          <w:szCs w:val="22"/>
        </w:rPr>
      </w:pPr>
      <w:r w:rsidRPr="00D720AF">
        <w:rPr>
          <w:rFonts w:ascii="Arial" w:hAnsi="Arial" w:cs="Arial"/>
          <w:sz w:val="22"/>
          <w:szCs w:val="22"/>
        </w:rPr>
        <w:t>Source: Department of Mines and Petroleum</w:t>
      </w:r>
    </w:p>
    <w:p w:rsidR="00E9487E" w:rsidRPr="009C116C" w:rsidRDefault="00E9487E" w:rsidP="00D240A9">
      <w:pPr>
        <w:autoSpaceDE w:val="0"/>
        <w:autoSpaceDN w:val="0"/>
        <w:adjustRightInd w:val="0"/>
        <w:ind w:left="567"/>
        <w:rPr>
          <w:rFonts w:ascii="Arial" w:hAnsi="Arial" w:cs="Arial"/>
          <w:color w:val="FF0000"/>
        </w:rPr>
      </w:pPr>
    </w:p>
    <w:sectPr w:rsidR="00E9487E" w:rsidRPr="009C116C" w:rsidSect="00D240A9">
      <w:headerReference w:type="default" r:id="rId9"/>
      <w:footerReference w:type="default" r:id="rId10"/>
      <w:head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BF" w:rsidRDefault="00A27EBF">
      <w:r>
        <w:separator/>
      </w:r>
    </w:p>
  </w:endnote>
  <w:endnote w:type="continuationSeparator" w:id="0">
    <w:p w:rsidR="00A27EBF" w:rsidRDefault="00A2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158338"/>
      <w:docPartObj>
        <w:docPartGallery w:val="Page Numbers (Bottom of Page)"/>
        <w:docPartUnique/>
      </w:docPartObj>
    </w:sdtPr>
    <w:sdtEndPr>
      <w:rPr>
        <w:noProof/>
      </w:rPr>
    </w:sdtEndPr>
    <w:sdtContent>
      <w:p w:rsidR="00A27564" w:rsidRDefault="00A27564">
        <w:pPr>
          <w:pStyle w:val="Footer"/>
          <w:jc w:val="center"/>
        </w:pPr>
        <w:r>
          <w:fldChar w:fldCharType="begin"/>
        </w:r>
        <w:r>
          <w:instrText xml:space="preserve"> PAGE   \* MERGEFORMAT </w:instrText>
        </w:r>
        <w:r>
          <w:fldChar w:fldCharType="separate"/>
        </w:r>
        <w:r w:rsidR="00170B60">
          <w:rPr>
            <w:noProof/>
          </w:rPr>
          <w:t>2</w:t>
        </w:r>
        <w:r>
          <w:rPr>
            <w:noProof/>
          </w:rPr>
          <w:fldChar w:fldCharType="end"/>
        </w:r>
      </w:p>
    </w:sdtContent>
  </w:sdt>
  <w:p w:rsidR="00D32281" w:rsidRPr="0099593A" w:rsidRDefault="00D32281" w:rsidP="00B00E54">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BF" w:rsidRDefault="00A27EBF">
      <w:r>
        <w:separator/>
      </w:r>
    </w:p>
  </w:footnote>
  <w:footnote w:type="continuationSeparator" w:id="0">
    <w:p w:rsidR="00A27EBF" w:rsidRDefault="00A27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64" w:rsidRDefault="00A27564">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28" w:rsidRDefault="00D240A9">
    <w:pPr>
      <w:pStyle w:val="Header"/>
    </w:pPr>
    <w:r>
      <w:rPr>
        <w:noProof/>
        <w:lang w:val="en-AU"/>
      </w:rPr>
      <w:drawing>
        <wp:inline distT="0" distB="0" distL="0" distR="0" wp14:anchorId="7A573E17" wp14:editId="7FF5F901">
          <wp:extent cx="27051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 logo.jpg"/>
                  <pic:cNvPicPr/>
                </pic:nvPicPr>
                <pic:blipFill>
                  <a:blip r:embed="rId1">
                    <a:extLst>
                      <a:ext uri="{28A0092B-C50C-407E-A947-70E740481C1C}">
                        <a14:useLocalDpi xmlns:a14="http://schemas.microsoft.com/office/drawing/2010/main" val="0"/>
                      </a:ext>
                    </a:extLst>
                  </a:blip>
                  <a:stretch>
                    <a:fillRect/>
                  </a:stretch>
                </pic:blipFill>
                <pic:spPr>
                  <a:xfrm>
                    <a:off x="0" y="0"/>
                    <a:ext cx="2705100" cy="64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527A7"/>
    <w:multiLevelType w:val="hybridMultilevel"/>
    <w:tmpl w:val="D8C4977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3BD22DF4"/>
    <w:multiLevelType w:val="hybridMultilevel"/>
    <w:tmpl w:val="66CA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0245AD"/>
    <w:multiLevelType w:val="hybridMultilevel"/>
    <w:tmpl w:val="998E7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9667018"/>
    <w:multiLevelType w:val="hybridMultilevel"/>
    <w:tmpl w:val="286AE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F8A0D3C"/>
    <w:multiLevelType w:val="hybridMultilevel"/>
    <w:tmpl w:val="C0CAB4F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nsid w:val="6A714FDB"/>
    <w:multiLevelType w:val="hybridMultilevel"/>
    <w:tmpl w:val="B456E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BF"/>
    <w:rsid w:val="000002CD"/>
    <w:rsid w:val="00000A91"/>
    <w:rsid w:val="00003623"/>
    <w:rsid w:val="0000526E"/>
    <w:rsid w:val="00007A9B"/>
    <w:rsid w:val="000113BC"/>
    <w:rsid w:val="000164B3"/>
    <w:rsid w:val="00016EC6"/>
    <w:rsid w:val="0001794A"/>
    <w:rsid w:val="00020A31"/>
    <w:rsid w:val="00033490"/>
    <w:rsid w:val="00036B9D"/>
    <w:rsid w:val="0003729C"/>
    <w:rsid w:val="00043CFC"/>
    <w:rsid w:val="000445BB"/>
    <w:rsid w:val="00044A8D"/>
    <w:rsid w:val="00044B9F"/>
    <w:rsid w:val="00044F3F"/>
    <w:rsid w:val="00045ECF"/>
    <w:rsid w:val="00051505"/>
    <w:rsid w:val="00053758"/>
    <w:rsid w:val="00056DB9"/>
    <w:rsid w:val="00057DC2"/>
    <w:rsid w:val="0006045E"/>
    <w:rsid w:val="00060C66"/>
    <w:rsid w:val="00062D81"/>
    <w:rsid w:val="00065504"/>
    <w:rsid w:val="000658D2"/>
    <w:rsid w:val="00066359"/>
    <w:rsid w:val="0006667C"/>
    <w:rsid w:val="00071BBB"/>
    <w:rsid w:val="00071D4A"/>
    <w:rsid w:val="00072490"/>
    <w:rsid w:val="00074A4A"/>
    <w:rsid w:val="00075665"/>
    <w:rsid w:val="0007628C"/>
    <w:rsid w:val="00077B33"/>
    <w:rsid w:val="000838B5"/>
    <w:rsid w:val="00084A2B"/>
    <w:rsid w:val="00085CF9"/>
    <w:rsid w:val="0008610B"/>
    <w:rsid w:val="00087C0C"/>
    <w:rsid w:val="00090122"/>
    <w:rsid w:val="000908C0"/>
    <w:rsid w:val="00091F72"/>
    <w:rsid w:val="0009246E"/>
    <w:rsid w:val="00092E02"/>
    <w:rsid w:val="000953BA"/>
    <w:rsid w:val="00096267"/>
    <w:rsid w:val="00097920"/>
    <w:rsid w:val="000A00D5"/>
    <w:rsid w:val="000A2C61"/>
    <w:rsid w:val="000A3244"/>
    <w:rsid w:val="000A5D2B"/>
    <w:rsid w:val="000A6F91"/>
    <w:rsid w:val="000B2E31"/>
    <w:rsid w:val="000B3E01"/>
    <w:rsid w:val="000B4E37"/>
    <w:rsid w:val="000B7154"/>
    <w:rsid w:val="000C49DD"/>
    <w:rsid w:val="000C6C45"/>
    <w:rsid w:val="000D5D25"/>
    <w:rsid w:val="000D7185"/>
    <w:rsid w:val="000E14E3"/>
    <w:rsid w:val="000E2BDF"/>
    <w:rsid w:val="000E56E4"/>
    <w:rsid w:val="000E790F"/>
    <w:rsid w:val="000F0882"/>
    <w:rsid w:val="000F27B6"/>
    <w:rsid w:val="000F417D"/>
    <w:rsid w:val="000F6CA6"/>
    <w:rsid w:val="000F6F77"/>
    <w:rsid w:val="00101E52"/>
    <w:rsid w:val="0010502F"/>
    <w:rsid w:val="00110A72"/>
    <w:rsid w:val="0011209F"/>
    <w:rsid w:val="00112321"/>
    <w:rsid w:val="00113D19"/>
    <w:rsid w:val="00114365"/>
    <w:rsid w:val="001167B2"/>
    <w:rsid w:val="00123EF4"/>
    <w:rsid w:val="0012663A"/>
    <w:rsid w:val="001277D6"/>
    <w:rsid w:val="0013265C"/>
    <w:rsid w:val="00134386"/>
    <w:rsid w:val="00134EE1"/>
    <w:rsid w:val="0013640F"/>
    <w:rsid w:val="00136421"/>
    <w:rsid w:val="00136F90"/>
    <w:rsid w:val="00137832"/>
    <w:rsid w:val="00137EEF"/>
    <w:rsid w:val="0014051D"/>
    <w:rsid w:val="00141D09"/>
    <w:rsid w:val="00142B1C"/>
    <w:rsid w:val="00143AC8"/>
    <w:rsid w:val="00143FDA"/>
    <w:rsid w:val="001445C3"/>
    <w:rsid w:val="0014719E"/>
    <w:rsid w:val="00150411"/>
    <w:rsid w:val="0015595B"/>
    <w:rsid w:val="001560B8"/>
    <w:rsid w:val="00156119"/>
    <w:rsid w:val="00161303"/>
    <w:rsid w:val="001664FE"/>
    <w:rsid w:val="00170B60"/>
    <w:rsid w:val="00171B65"/>
    <w:rsid w:val="001818AC"/>
    <w:rsid w:val="0018240C"/>
    <w:rsid w:val="0018357B"/>
    <w:rsid w:val="001848E6"/>
    <w:rsid w:val="00184B85"/>
    <w:rsid w:val="00184D10"/>
    <w:rsid w:val="00190896"/>
    <w:rsid w:val="00191182"/>
    <w:rsid w:val="001950BD"/>
    <w:rsid w:val="0019597F"/>
    <w:rsid w:val="00195EE7"/>
    <w:rsid w:val="001A424F"/>
    <w:rsid w:val="001A4862"/>
    <w:rsid w:val="001A66A4"/>
    <w:rsid w:val="001C5F4F"/>
    <w:rsid w:val="001D398E"/>
    <w:rsid w:val="001E023F"/>
    <w:rsid w:val="001E4612"/>
    <w:rsid w:val="001E4949"/>
    <w:rsid w:val="001F01B4"/>
    <w:rsid w:val="001F051F"/>
    <w:rsid w:val="001F1FEF"/>
    <w:rsid w:val="001F2843"/>
    <w:rsid w:val="001F4270"/>
    <w:rsid w:val="002011E4"/>
    <w:rsid w:val="00201F04"/>
    <w:rsid w:val="0020265B"/>
    <w:rsid w:val="00202A34"/>
    <w:rsid w:val="00202C4B"/>
    <w:rsid w:val="002053EB"/>
    <w:rsid w:val="0020676B"/>
    <w:rsid w:val="00210D59"/>
    <w:rsid w:val="002113A7"/>
    <w:rsid w:val="00213B45"/>
    <w:rsid w:val="00214089"/>
    <w:rsid w:val="00214AE9"/>
    <w:rsid w:val="00220A6D"/>
    <w:rsid w:val="002219C9"/>
    <w:rsid w:val="00221F2F"/>
    <w:rsid w:val="00223730"/>
    <w:rsid w:val="00223FA0"/>
    <w:rsid w:val="002249C4"/>
    <w:rsid w:val="00224CA2"/>
    <w:rsid w:val="00226535"/>
    <w:rsid w:val="00227D7A"/>
    <w:rsid w:val="00230D12"/>
    <w:rsid w:val="00231B8D"/>
    <w:rsid w:val="002347E5"/>
    <w:rsid w:val="00235DC1"/>
    <w:rsid w:val="002368FE"/>
    <w:rsid w:val="00236BAF"/>
    <w:rsid w:val="00237A8B"/>
    <w:rsid w:val="00240520"/>
    <w:rsid w:val="00242064"/>
    <w:rsid w:val="002423AC"/>
    <w:rsid w:val="0024757D"/>
    <w:rsid w:val="00247F7C"/>
    <w:rsid w:val="00255B93"/>
    <w:rsid w:val="00255D48"/>
    <w:rsid w:val="002571B3"/>
    <w:rsid w:val="002641CA"/>
    <w:rsid w:val="00265A5C"/>
    <w:rsid w:val="00273589"/>
    <w:rsid w:val="00273CE7"/>
    <w:rsid w:val="0027402E"/>
    <w:rsid w:val="002766F6"/>
    <w:rsid w:val="002770DA"/>
    <w:rsid w:val="002774D7"/>
    <w:rsid w:val="0028210C"/>
    <w:rsid w:val="0028360B"/>
    <w:rsid w:val="002903A4"/>
    <w:rsid w:val="00291EC9"/>
    <w:rsid w:val="00295353"/>
    <w:rsid w:val="002961E8"/>
    <w:rsid w:val="002972F0"/>
    <w:rsid w:val="002973B5"/>
    <w:rsid w:val="002A2190"/>
    <w:rsid w:val="002A44D9"/>
    <w:rsid w:val="002B024C"/>
    <w:rsid w:val="002B3ECE"/>
    <w:rsid w:val="002B4BB9"/>
    <w:rsid w:val="002B5A03"/>
    <w:rsid w:val="002B5C66"/>
    <w:rsid w:val="002B7A67"/>
    <w:rsid w:val="002B7BEB"/>
    <w:rsid w:val="002C0E79"/>
    <w:rsid w:val="002C308D"/>
    <w:rsid w:val="002C61B2"/>
    <w:rsid w:val="002C7FC4"/>
    <w:rsid w:val="002D03CE"/>
    <w:rsid w:val="002D39FC"/>
    <w:rsid w:val="002D6313"/>
    <w:rsid w:val="002E25C7"/>
    <w:rsid w:val="002E367F"/>
    <w:rsid w:val="002E3BF9"/>
    <w:rsid w:val="002E4EEC"/>
    <w:rsid w:val="002E546F"/>
    <w:rsid w:val="002E678E"/>
    <w:rsid w:val="002E6C07"/>
    <w:rsid w:val="002E6D4B"/>
    <w:rsid w:val="002F2E92"/>
    <w:rsid w:val="002F329C"/>
    <w:rsid w:val="002F627F"/>
    <w:rsid w:val="003008CF"/>
    <w:rsid w:val="00303D2D"/>
    <w:rsid w:val="00304E19"/>
    <w:rsid w:val="003149D1"/>
    <w:rsid w:val="00314C69"/>
    <w:rsid w:val="00315228"/>
    <w:rsid w:val="00315B5E"/>
    <w:rsid w:val="00317E4D"/>
    <w:rsid w:val="00317E4E"/>
    <w:rsid w:val="003204AD"/>
    <w:rsid w:val="00320E97"/>
    <w:rsid w:val="00322C4C"/>
    <w:rsid w:val="0032622B"/>
    <w:rsid w:val="00327EBC"/>
    <w:rsid w:val="003300E5"/>
    <w:rsid w:val="00333BB6"/>
    <w:rsid w:val="003364EE"/>
    <w:rsid w:val="00336AFD"/>
    <w:rsid w:val="00336FFA"/>
    <w:rsid w:val="0033740A"/>
    <w:rsid w:val="003435B7"/>
    <w:rsid w:val="00351790"/>
    <w:rsid w:val="00353E52"/>
    <w:rsid w:val="00354B7A"/>
    <w:rsid w:val="0035611B"/>
    <w:rsid w:val="003571A2"/>
    <w:rsid w:val="003578E4"/>
    <w:rsid w:val="00357E05"/>
    <w:rsid w:val="00364AD2"/>
    <w:rsid w:val="00366942"/>
    <w:rsid w:val="00367300"/>
    <w:rsid w:val="003729C5"/>
    <w:rsid w:val="00373059"/>
    <w:rsid w:val="0037361F"/>
    <w:rsid w:val="0037463D"/>
    <w:rsid w:val="003758C4"/>
    <w:rsid w:val="00377427"/>
    <w:rsid w:val="00383805"/>
    <w:rsid w:val="00385D72"/>
    <w:rsid w:val="00386371"/>
    <w:rsid w:val="00386DC8"/>
    <w:rsid w:val="003906B1"/>
    <w:rsid w:val="003936F6"/>
    <w:rsid w:val="003949C7"/>
    <w:rsid w:val="00395F15"/>
    <w:rsid w:val="00396CE4"/>
    <w:rsid w:val="00397726"/>
    <w:rsid w:val="003A09CF"/>
    <w:rsid w:val="003A2566"/>
    <w:rsid w:val="003A59C8"/>
    <w:rsid w:val="003A70ED"/>
    <w:rsid w:val="003B285C"/>
    <w:rsid w:val="003B340C"/>
    <w:rsid w:val="003B75F6"/>
    <w:rsid w:val="003B77B4"/>
    <w:rsid w:val="003C015D"/>
    <w:rsid w:val="003C19BD"/>
    <w:rsid w:val="003C1E33"/>
    <w:rsid w:val="003C51E7"/>
    <w:rsid w:val="003C5D96"/>
    <w:rsid w:val="003D2682"/>
    <w:rsid w:val="003D2B06"/>
    <w:rsid w:val="003D51B6"/>
    <w:rsid w:val="003D6E07"/>
    <w:rsid w:val="003D76D4"/>
    <w:rsid w:val="003E3D5C"/>
    <w:rsid w:val="003E50F0"/>
    <w:rsid w:val="003F16D3"/>
    <w:rsid w:val="003F6CAB"/>
    <w:rsid w:val="004017DB"/>
    <w:rsid w:val="00402EF0"/>
    <w:rsid w:val="0040380E"/>
    <w:rsid w:val="00405073"/>
    <w:rsid w:val="00406996"/>
    <w:rsid w:val="00414575"/>
    <w:rsid w:val="00415FA2"/>
    <w:rsid w:val="0042061F"/>
    <w:rsid w:val="00420F77"/>
    <w:rsid w:val="00421684"/>
    <w:rsid w:val="004218D0"/>
    <w:rsid w:val="00423CEA"/>
    <w:rsid w:val="00430B7A"/>
    <w:rsid w:val="00430C8B"/>
    <w:rsid w:val="004366EB"/>
    <w:rsid w:val="00436F51"/>
    <w:rsid w:val="0044660C"/>
    <w:rsid w:val="00446B4D"/>
    <w:rsid w:val="00446F49"/>
    <w:rsid w:val="00447822"/>
    <w:rsid w:val="00452361"/>
    <w:rsid w:val="004561D9"/>
    <w:rsid w:val="00456BC4"/>
    <w:rsid w:val="0045714B"/>
    <w:rsid w:val="00457DCF"/>
    <w:rsid w:val="00462665"/>
    <w:rsid w:val="0046280E"/>
    <w:rsid w:val="004669B9"/>
    <w:rsid w:val="00467AA7"/>
    <w:rsid w:val="00467B59"/>
    <w:rsid w:val="004713E8"/>
    <w:rsid w:val="004715FF"/>
    <w:rsid w:val="004733F3"/>
    <w:rsid w:val="00473B2A"/>
    <w:rsid w:val="00474588"/>
    <w:rsid w:val="0048146D"/>
    <w:rsid w:val="00485FA4"/>
    <w:rsid w:val="004A17AA"/>
    <w:rsid w:val="004A1E29"/>
    <w:rsid w:val="004A2FB7"/>
    <w:rsid w:val="004A4C70"/>
    <w:rsid w:val="004B1198"/>
    <w:rsid w:val="004B4AD8"/>
    <w:rsid w:val="004B4FBC"/>
    <w:rsid w:val="004B5CA6"/>
    <w:rsid w:val="004C58C1"/>
    <w:rsid w:val="004C63B7"/>
    <w:rsid w:val="004C6C6A"/>
    <w:rsid w:val="004D1022"/>
    <w:rsid w:val="004D113B"/>
    <w:rsid w:val="004D1BFF"/>
    <w:rsid w:val="004D1DE1"/>
    <w:rsid w:val="004D1EA3"/>
    <w:rsid w:val="004D272F"/>
    <w:rsid w:val="004D2986"/>
    <w:rsid w:val="004D432D"/>
    <w:rsid w:val="004D5E97"/>
    <w:rsid w:val="004D639F"/>
    <w:rsid w:val="004E080A"/>
    <w:rsid w:val="004E0B47"/>
    <w:rsid w:val="004E11F6"/>
    <w:rsid w:val="004E16EB"/>
    <w:rsid w:val="004E5268"/>
    <w:rsid w:val="004E67D9"/>
    <w:rsid w:val="004E77BF"/>
    <w:rsid w:val="004F0F5A"/>
    <w:rsid w:val="004F1EA6"/>
    <w:rsid w:val="004F3545"/>
    <w:rsid w:val="004F49CC"/>
    <w:rsid w:val="004F5F3B"/>
    <w:rsid w:val="00500B90"/>
    <w:rsid w:val="00500BCD"/>
    <w:rsid w:val="00503826"/>
    <w:rsid w:val="00506443"/>
    <w:rsid w:val="00511308"/>
    <w:rsid w:val="00513EAC"/>
    <w:rsid w:val="00515A17"/>
    <w:rsid w:val="00517E3D"/>
    <w:rsid w:val="0052250A"/>
    <w:rsid w:val="00523AF6"/>
    <w:rsid w:val="00526159"/>
    <w:rsid w:val="005274B0"/>
    <w:rsid w:val="00530847"/>
    <w:rsid w:val="00531FE1"/>
    <w:rsid w:val="005341ED"/>
    <w:rsid w:val="005343B4"/>
    <w:rsid w:val="00535E17"/>
    <w:rsid w:val="0053614B"/>
    <w:rsid w:val="00541B7C"/>
    <w:rsid w:val="00543FF4"/>
    <w:rsid w:val="00544BA1"/>
    <w:rsid w:val="0054557D"/>
    <w:rsid w:val="005506A1"/>
    <w:rsid w:val="005510E3"/>
    <w:rsid w:val="005548CA"/>
    <w:rsid w:val="00555337"/>
    <w:rsid w:val="00555736"/>
    <w:rsid w:val="00556D68"/>
    <w:rsid w:val="00563697"/>
    <w:rsid w:val="00564365"/>
    <w:rsid w:val="00564C04"/>
    <w:rsid w:val="00565648"/>
    <w:rsid w:val="005661B6"/>
    <w:rsid w:val="00567085"/>
    <w:rsid w:val="0057287F"/>
    <w:rsid w:val="00574372"/>
    <w:rsid w:val="00580D1A"/>
    <w:rsid w:val="00586EAA"/>
    <w:rsid w:val="00590FB6"/>
    <w:rsid w:val="00591B37"/>
    <w:rsid w:val="00593DD1"/>
    <w:rsid w:val="00596310"/>
    <w:rsid w:val="005977A5"/>
    <w:rsid w:val="00597EEA"/>
    <w:rsid w:val="005A09FD"/>
    <w:rsid w:val="005B0075"/>
    <w:rsid w:val="005B1425"/>
    <w:rsid w:val="005B1453"/>
    <w:rsid w:val="005B1ABA"/>
    <w:rsid w:val="005B1B1C"/>
    <w:rsid w:val="005B2FF5"/>
    <w:rsid w:val="005C0943"/>
    <w:rsid w:val="005C121F"/>
    <w:rsid w:val="005C19B1"/>
    <w:rsid w:val="005C4418"/>
    <w:rsid w:val="005C4B3E"/>
    <w:rsid w:val="005C720D"/>
    <w:rsid w:val="005C7E1E"/>
    <w:rsid w:val="005D27AD"/>
    <w:rsid w:val="005D3B35"/>
    <w:rsid w:val="005D3D69"/>
    <w:rsid w:val="005E793A"/>
    <w:rsid w:val="005F35F7"/>
    <w:rsid w:val="005F3C7C"/>
    <w:rsid w:val="005F63B7"/>
    <w:rsid w:val="0060403F"/>
    <w:rsid w:val="00605DF7"/>
    <w:rsid w:val="00607F76"/>
    <w:rsid w:val="0061358F"/>
    <w:rsid w:val="00616587"/>
    <w:rsid w:val="00622443"/>
    <w:rsid w:val="00624841"/>
    <w:rsid w:val="00625A23"/>
    <w:rsid w:val="006272D2"/>
    <w:rsid w:val="00631244"/>
    <w:rsid w:val="00635697"/>
    <w:rsid w:val="00635E31"/>
    <w:rsid w:val="0063711E"/>
    <w:rsid w:val="0064056B"/>
    <w:rsid w:val="00646129"/>
    <w:rsid w:val="00646DA9"/>
    <w:rsid w:val="006470C8"/>
    <w:rsid w:val="006542CD"/>
    <w:rsid w:val="006618A5"/>
    <w:rsid w:val="006619C1"/>
    <w:rsid w:val="00661EC2"/>
    <w:rsid w:val="0066207C"/>
    <w:rsid w:val="0066246B"/>
    <w:rsid w:val="00672EC1"/>
    <w:rsid w:val="00673DB5"/>
    <w:rsid w:val="0067554D"/>
    <w:rsid w:val="00681ADF"/>
    <w:rsid w:val="006843CB"/>
    <w:rsid w:val="00691837"/>
    <w:rsid w:val="00696227"/>
    <w:rsid w:val="006A0A29"/>
    <w:rsid w:val="006A2F82"/>
    <w:rsid w:val="006A6DB5"/>
    <w:rsid w:val="006B09F6"/>
    <w:rsid w:val="006B459D"/>
    <w:rsid w:val="006B63A3"/>
    <w:rsid w:val="006C1E1F"/>
    <w:rsid w:val="006C3F32"/>
    <w:rsid w:val="006C70EB"/>
    <w:rsid w:val="006D124E"/>
    <w:rsid w:val="006D2CA9"/>
    <w:rsid w:val="006D37E0"/>
    <w:rsid w:val="006D48D4"/>
    <w:rsid w:val="006D5DE7"/>
    <w:rsid w:val="006E0720"/>
    <w:rsid w:val="006E0F90"/>
    <w:rsid w:val="006E1193"/>
    <w:rsid w:val="006E506C"/>
    <w:rsid w:val="006E6A82"/>
    <w:rsid w:val="006F39D1"/>
    <w:rsid w:val="006F3B54"/>
    <w:rsid w:val="006F4BB5"/>
    <w:rsid w:val="006F6F11"/>
    <w:rsid w:val="00705F08"/>
    <w:rsid w:val="007074C9"/>
    <w:rsid w:val="00713333"/>
    <w:rsid w:val="00716C71"/>
    <w:rsid w:val="00721FDB"/>
    <w:rsid w:val="00722D41"/>
    <w:rsid w:val="00722E2F"/>
    <w:rsid w:val="00725A81"/>
    <w:rsid w:val="0073164E"/>
    <w:rsid w:val="007379F3"/>
    <w:rsid w:val="00737A0E"/>
    <w:rsid w:val="0074217D"/>
    <w:rsid w:val="00742581"/>
    <w:rsid w:val="00743712"/>
    <w:rsid w:val="0074374B"/>
    <w:rsid w:val="0074484B"/>
    <w:rsid w:val="00750EC0"/>
    <w:rsid w:val="007523C0"/>
    <w:rsid w:val="00753FF3"/>
    <w:rsid w:val="0075617B"/>
    <w:rsid w:val="00757ADA"/>
    <w:rsid w:val="0076069C"/>
    <w:rsid w:val="00763EA8"/>
    <w:rsid w:val="00766255"/>
    <w:rsid w:val="0076782B"/>
    <w:rsid w:val="007709C1"/>
    <w:rsid w:val="0077362A"/>
    <w:rsid w:val="0077446C"/>
    <w:rsid w:val="0078176C"/>
    <w:rsid w:val="00782DC7"/>
    <w:rsid w:val="0078353A"/>
    <w:rsid w:val="007854F3"/>
    <w:rsid w:val="00792346"/>
    <w:rsid w:val="00793651"/>
    <w:rsid w:val="007943CC"/>
    <w:rsid w:val="007954AB"/>
    <w:rsid w:val="007964B5"/>
    <w:rsid w:val="0079759D"/>
    <w:rsid w:val="00797B7F"/>
    <w:rsid w:val="007A10AF"/>
    <w:rsid w:val="007A1B5D"/>
    <w:rsid w:val="007A46DB"/>
    <w:rsid w:val="007A5A28"/>
    <w:rsid w:val="007A674E"/>
    <w:rsid w:val="007A6C2E"/>
    <w:rsid w:val="007A78D8"/>
    <w:rsid w:val="007B2EE8"/>
    <w:rsid w:val="007B481B"/>
    <w:rsid w:val="007C234F"/>
    <w:rsid w:val="007C2A9F"/>
    <w:rsid w:val="007C2E8A"/>
    <w:rsid w:val="007C4EA9"/>
    <w:rsid w:val="007C60C3"/>
    <w:rsid w:val="007C63C8"/>
    <w:rsid w:val="007C7B18"/>
    <w:rsid w:val="007C7C0E"/>
    <w:rsid w:val="007C7FA8"/>
    <w:rsid w:val="007D1363"/>
    <w:rsid w:val="007D1939"/>
    <w:rsid w:val="007D3344"/>
    <w:rsid w:val="007D3695"/>
    <w:rsid w:val="007D6303"/>
    <w:rsid w:val="007D6373"/>
    <w:rsid w:val="007D7911"/>
    <w:rsid w:val="007E0221"/>
    <w:rsid w:val="007E6A17"/>
    <w:rsid w:val="007E6F32"/>
    <w:rsid w:val="007F44F5"/>
    <w:rsid w:val="007F48CB"/>
    <w:rsid w:val="007F6238"/>
    <w:rsid w:val="007F6472"/>
    <w:rsid w:val="007F728F"/>
    <w:rsid w:val="00800773"/>
    <w:rsid w:val="0080174E"/>
    <w:rsid w:val="008045AE"/>
    <w:rsid w:val="008066C3"/>
    <w:rsid w:val="008078D4"/>
    <w:rsid w:val="008078EB"/>
    <w:rsid w:val="00813233"/>
    <w:rsid w:val="00815C7B"/>
    <w:rsid w:val="0081617D"/>
    <w:rsid w:val="00816198"/>
    <w:rsid w:val="00820D04"/>
    <w:rsid w:val="00820FC2"/>
    <w:rsid w:val="008211B4"/>
    <w:rsid w:val="00822339"/>
    <w:rsid w:val="0082318E"/>
    <w:rsid w:val="00823B59"/>
    <w:rsid w:val="00830F61"/>
    <w:rsid w:val="00833B3E"/>
    <w:rsid w:val="00834442"/>
    <w:rsid w:val="008348E0"/>
    <w:rsid w:val="00836750"/>
    <w:rsid w:val="00837910"/>
    <w:rsid w:val="00840C87"/>
    <w:rsid w:val="008423E1"/>
    <w:rsid w:val="008426F9"/>
    <w:rsid w:val="0084496C"/>
    <w:rsid w:val="008517D3"/>
    <w:rsid w:val="008537B6"/>
    <w:rsid w:val="008542E4"/>
    <w:rsid w:val="00857EE8"/>
    <w:rsid w:val="00861BD3"/>
    <w:rsid w:val="008626D2"/>
    <w:rsid w:val="00863136"/>
    <w:rsid w:val="00863DBD"/>
    <w:rsid w:val="00864E96"/>
    <w:rsid w:val="0086620C"/>
    <w:rsid w:val="00870E7B"/>
    <w:rsid w:val="00871D03"/>
    <w:rsid w:val="008721E1"/>
    <w:rsid w:val="00872992"/>
    <w:rsid w:val="00873373"/>
    <w:rsid w:val="008734DE"/>
    <w:rsid w:val="008734FF"/>
    <w:rsid w:val="008749E8"/>
    <w:rsid w:val="0087611B"/>
    <w:rsid w:val="0087643E"/>
    <w:rsid w:val="00880708"/>
    <w:rsid w:val="00881892"/>
    <w:rsid w:val="008840EE"/>
    <w:rsid w:val="0088509B"/>
    <w:rsid w:val="00885768"/>
    <w:rsid w:val="00885EFA"/>
    <w:rsid w:val="00887F27"/>
    <w:rsid w:val="008900B2"/>
    <w:rsid w:val="00891D56"/>
    <w:rsid w:val="00892396"/>
    <w:rsid w:val="008927F3"/>
    <w:rsid w:val="008941C9"/>
    <w:rsid w:val="00895B93"/>
    <w:rsid w:val="008A066F"/>
    <w:rsid w:val="008A6A32"/>
    <w:rsid w:val="008B046F"/>
    <w:rsid w:val="008B39D9"/>
    <w:rsid w:val="008B3C17"/>
    <w:rsid w:val="008B450E"/>
    <w:rsid w:val="008B4F99"/>
    <w:rsid w:val="008B530E"/>
    <w:rsid w:val="008B5DE6"/>
    <w:rsid w:val="008B6D82"/>
    <w:rsid w:val="008B74D3"/>
    <w:rsid w:val="008B7501"/>
    <w:rsid w:val="008C0A17"/>
    <w:rsid w:val="008C3EB7"/>
    <w:rsid w:val="008C43C6"/>
    <w:rsid w:val="008D0350"/>
    <w:rsid w:val="008D5D9F"/>
    <w:rsid w:val="008D762B"/>
    <w:rsid w:val="008E31B3"/>
    <w:rsid w:val="008E6F33"/>
    <w:rsid w:val="008F009C"/>
    <w:rsid w:val="008F014F"/>
    <w:rsid w:val="008F172B"/>
    <w:rsid w:val="008F26F9"/>
    <w:rsid w:val="008F3BDE"/>
    <w:rsid w:val="008F41D1"/>
    <w:rsid w:val="008F4EE4"/>
    <w:rsid w:val="00901C00"/>
    <w:rsid w:val="0090265E"/>
    <w:rsid w:val="00904F38"/>
    <w:rsid w:val="009077C2"/>
    <w:rsid w:val="009116D9"/>
    <w:rsid w:val="00911D11"/>
    <w:rsid w:val="00917535"/>
    <w:rsid w:val="0092154D"/>
    <w:rsid w:val="00923A05"/>
    <w:rsid w:val="00925EB7"/>
    <w:rsid w:val="00927D88"/>
    <w:rsid w:val="0093126C"/>
    <w:rsid w:val="009336F9"/>
    <w:rsid w:val="00943348"/>
    <w:rsid w:val="00945947"/>
    <w:rsid w:val="0095073E"/>
    <w:rsid w:val="00950B7E"/>
    <w:rsid w:val="009519CD"/>
    <w:rsid w:val="00952BD8"/>
    <w:rsid w:val="009533C7"/>
    <w:rsid w:val="00953EC5"/>
    <w:rsid w:val="00956BD1"/>
    <w:rsid w:val="00957677"/>
    <w:rsid w:val="00960E22"/>
    <w:rsid w:val="00961CA6"/>
    <w:rsid w:val="009648AC"/>
    <w:rsid w:val="00964E9A"/>
    <w:rsid w:val="009665BF"/>
    <w:rsid w:val="00967C9C"/>
    <w:rsid w:val="00970435"/>
    <w:rsid w:val="00971F40"/>
    <w:rsid w:val="009723B7"/>
    <w:rsid w:val="00972E14"/>
    <w:rsid w:val="009741A2"/>
    <w:rsid w:val="00975FEB"/>
    <w:rsid w:val="0098012F"/>
    <w:rsid w:val="0098347A"/>
    <w:rsid w:val="0098589E"/>
    <w:rsid w:val="00987B04"/>
    <w:rsid w:val="0099593A"/>
    <w:rsid w:val="009A41FB"/>
    <w:rsid w:val="009B0C35"/>
    <w:rsid w:val="009B0C58"/>
    <w:rsid w:val="009B15E7"/>
    <w:rsid w:val="009B1B84"/>
    <w:rsid w:val="009B4F22"/>
    <w:rsid w:val="009B5F18"/>
    <w:rsid w:val="009B7633"/>
    <w:rsid w:val="009B7EB0"/>
    <w:rsid w:val="009C116C"/>
    <w:rsid w:val="009C1480"/>
    <w:rsid w:val="009C215E"/>
    <w:rsid w:val="009C2F37"/>
    <w:rsid w:val="009C7819"/>
    <w:rsid w:val="009D05DF"/>
    <w:rsid w:val="009D2DF6"/>
    <w:rsid w:val="009D4A5D"/>
    <w:rsid w:val="009D77DF"/>
    <w:rsid w:val="009E45CB"/>
    <w:rsid w:val="009E6638"/>
    <w:rsid w:val="009E6B2A"/>
    <w:rsid w:val="009F042A"/>
    <w:rsid w:val="009F3450"/>
    <w:rsid w:val="009F3B9F"/>
    <w:rsid w:val="009F60A4"/>
    <w:rsid w:val="009F7F1C"/>
    <w:rsid w:val="00A009D4"/>
    <w:rsid w:val="00A00D85"/>
    <w:rsid w:val="00A03262"/>
    <w:rsid w:val="00A06073"/>
    <w:rsid w:val="00A06472"/>
    <w:rsid w:val="00A06631"/>
    <w:rsid w:val="00A12403"/>
    <w:rsid w:val="00A12C51"/>
    <w:rsid w:val="00A13912"/>
    <w:rsid w:val="00A156F6"/>
    <w:rsid w:val="00A17945"/>
    <w:rsid w:val="00A21207"/>
    <w:rsid w:val="00A2251E"/>
    <w:rsid w:val="00A2368E"/>
    <w:rsid w:val="00A23B41"/>
    <w:rsid w:val="00A24CDD"/>
    <w:rsid w:val="00A27564"/>
    <w:rsid w:val="00A27EBF"/>
    <w:rsid w:val="00A32004"/>
    <w:rsid w:val="00A342DB"/>
    <w:rsid w:val="00A345AB"/>
    <w:rsid w:val="00A35CD5"/>
    <w:rsid w:val="00A36F14"/>
    <w:rsid w:val="00A36FE2"/>
    <w:rsid w:val="00A370C2"/>
    <w:rsid w:val="00A37F11"/>
    <w:rsid w:val="00A40A35"/>
    <w:rsid w:val="00A41990"/>
    <w:rsid w:val="00A42378"/>
    <w:rsid w:val="00A43152"/>
    <w:rsid w:val="00A4775C"/>
    <w:rsid w:val="00A52888"/>
    <w:rsid w:val="00A53C8E"/>
    <w:rsid w:val="00A54878"/>
    <w:rsid w:val="00A6685B"/>
    <w:rsid w:val="00A6726A"/>
    <w:rsid w:val="00A718D1"/>
    <w:rsid w:val="00A72F86"/>
    <w:rsid w:val="00A73494"/>
    <w:rsid w:val="00A85347"/>
    <w:rsid w:val="00A86724"/>
    <w:rsid w:val="00A94546"/>
    <w:rsid w:val="00A959B2"/>
    <w:rsid w:val="00A96556"/>
    <w:rsid w:val="00AA16B1"/>
    <w:rsid w:val="00AA4512"/>
    <w:rsid w:val="00AA5D04"/>
    <w:rsid w:val="00AB0EB3"/>
    <w:rsid w:val="00AB24D7"/>
    <w:rsid w:val="00AB40AE"/>
    <w:rsid w:val="00AB523E"/>
    <w:rsid w:val="00AB5378"/>
    <w:rsid w:val="00AB72D7"/>
    <w:rsid w:val="00AB734A"/>
    <w:rsid w:val="00AC05F2"/>
    <w:rsid w:val="00AC59E8"/>
    <w:rsid w:val="00AD497D"/>
    <w:rsid w:val="00AD72E3"/>
    <w:rsid w:val="00AD7AEE"/>
    <w:rsid w:val="00AE05A0"/>
    <w:rsid w:val="00AE15A1"/>
    <w:rsid w:val="00AE1628"/>
    <w:rsid w:val="00AE4B8B"/>
    <w:rsid w:val="00AF1E0E"/>
    <w:rsid w:val="00AF2CC1"/>
    <w:rsid w:val="00AF6B2D"/>
    <w:rsid w:val="00AF7A58"/>
    <w:rsid w:val="00AF7A92"/>
    <w:rsid w:val="00B00E54"/>
    <w:rsid w:val="00B0431E"/>
    <w:rsid w:val="00B0473D"/>
    <w:rsid w:val="00B10094"/>
    <w:rsid w:val="00B129BD"/>
    <w:rsid w:val="00B1385B"/>
    <w:rsid w:val="00B13E69"/>
    <w:rsid w:val="00B20212"/>
    <w:rsid w:val="00B21455"/>
    <w:rsid w:val="00B21F1E"/>
    <w:rsid w:val="00B2439E"/>
    <w:rsid w:val="00B2475B"/>
    <w:rsid w:val="00B26143"/>
    <w:rsid w:val="00B30D2B"/>
    <w:rsid w:val="00B33FA6"/>
    <w:rsid w:val="00B34E00"/>
    <w:rsid w:val="00B350C4"/>
    <w:rsid w:val="00B353A4"/>
    <w:rsid w:val="00B41795"/>
    <w:rsid w:val="00B426F7"/>
    <w:rsid w:val="00B43835"/>
    <w:rsid w:val="00B43FCC"/>
    <w:rsid w:val="00B45F4F"/>
    <w:rsid w:val="00B460B3"/>
    <w:rsid w:val="00B47820"/>
    <w:rsid w:val="00B51B0F"/>
    <w:rsid w:val="00B52514"/>
    <w:rsid w:val="00B53B98"/>
    <w:rsid w:val="00B55D3B"/>
    <w:rsid w:val="00B57130"/>
    <w:rsid w:val="00B63A8C"/>
    <w:rsid w:val="00B63E7B"/>
    <w:rsid w:val="00B6488A"/>
    <w:rsid w:val="00B65B2B"/>
    <w:rsid w:val="00B663C6"/>
    <w:rsid w:val="00B766A1"/>
    <w:rsid w:val="00B77AB5"/>
    <w:rsid w:val="00B85DD0"/>
    <w:rsid w:val="00B86203"/>
    <w:rsid w:val="00B90C18"/>
    <w:rsid w:val="00B94B39"/>
    <w:rsid w:val="00B94EBE"/>
    <w:rsid w:val="00B95BCD"/>
    <w:rsid w:val="00B95E0F"/>
    <w:rsid w:val="00B974F6"/>
    <w:rsid w:val="00BA3CE6"/>
    <w:rsid w:val="00BA4AC0"/>
    <w:rsid w:val="00BA7E3E"/>
    <w:rsid w:val="00BB103E"/>
    <w:rsid w:val="00BB2394"/>
    <w:rsid w:val="00BB34BC"/>
    <w:rsid w:val="00BB3B07"/>
    <w:rsid w:val="00BB55A9"/>
    <w:rsid w:val="00BB6028"/>
    <w:rsid w:val="00BB6DE2"/>
    <w:rsid w:val="00BC034C"/>
    <w:rsid w:val="00BC33B4"/>
    <w:rsid w:val="00BC53AD"/>
    <w:rsid w:val="00BD015E"/>
    <w:rsid w:val="00BD17CC"/>
    <w:rsid w:val="00BD1EA9"/>
    <w:rsid w:val="00BD1F23"/>
    <w:rsid w:val="00BD2BF0"/>
    <w:rsid w:val="00BD39D2"/>
    <w:rsid w:val="00BD4E09"/>
    <w:rsid w:val="00BD4F79"/>
    <w:rsid w:val="00BD7D49"/>
    <w:rsid w:val="00BE2DE9"/>
    <w:rsid w:val="00BE4A35"/>
    <w:rsid w:val="00BE5AC6"/>
    <w:rsid w:val="00BE6DA8"/>
    <w:rsid w:val="00BF007C"/>
    <w:rsid w:val="00BF0D91"/>
    <w:rsid w:val="00BF0DFE"/>
    <w:rsid w:val="00BF1A64"/>
    <w:rsid w:val="00BF501A"/>
    <w:rsid w:val="00BF5A5A"/>
    <w:rsid w:val="00BF663F"/>
    <w:rsid w:val="00C02C50"/>
    <w:rsid w:val="00C05F0D"/>
    <w:rsid w:val="00C069A9"/>
    <w:rsid w:val="00C074D5"/>
    <w:rsid w:val="00C107A0"/>
    <w:rsid w:val="00C13B23"/>
    <w:rsid w:val="00C13C50"/>
    <w:rsid w:val="00C147C3"/>
    <w:rsid w:val="00C17BB8"/>
    <w:rsid w:val="00C25D28"/>
    <w:rsid w:val="00C26C92"/>
    <w:rsid w:val="00C26E01"/>
    <w:rsid w:val="00C26F19"/>
    <w:rsid w:val="00C2799C"/>
    <w:rsid w:val="00C34163"/>
    <w:rsid w:val="00C350BB"/>
    <w:rsid w:val="00C43007"/>
    <w:rsid w:val="00C432A5"/>
    <w:rsid w:val="00C43ED7"/>
    <w:rsid w:val="00C52296"/>
    <w:rsid w:val="00C62544"/>
    <w:rsid w:val="00C65212"/>
    <w:rsid w:val="00C67686"/>
    <w:rsid w:val="00C704BC"/>
    <w:rsid w:val="00C717FF"/>
    <w:rsid w:val="00C72171"/>
    <w:rsid w:val="00C7253A"/>
    <w:rsid w:val="00C72584"/>
    <w:rsid w:val="00C73811"/>
    <w:rsid w:val="00C75601"/>
    <w:rsid w:val="00C75B3A"/>
    <w:rsid w:val="00C75CB8"/>
    <w:rsid w:val="00C80410"/>
    <w:rsid w:val="00C83BB0"/>
    <w:rsid w:val="00C852C0"/>
    <w:rsid w:val="00C866E7"/>
    <w:rsid w:val="00C9278C"/>
    <w:rsid w:val="00C93D8E"/>
    <w:rsid w:val="00C94558"/>
    <w:rsid w:val="00C96355"/>
    <w:rsid w:val="00C964DA"/>
    <w:rsid w:val="00CA044A"/>
    <w:rsid w:val="00CA338A"/>
    <w:rsid w:val="00CA493F"/>
    <w:rsid w:val="00CA4ABC"/>
    <w:rsid w:val="00CA66F4"/>
    <w:rsid w:val="00CA6F55"/>
    <w:rsid w:val="00CB014B"/>
    <w:rsid w:val="00CB021E"/>
    <w:rsid w:val="00CB113A"/>
    <w:rsid w:val="00CB46E6"/>
    <w:rsid w:val="00CC0C00"/>
    <w:rsid w:val="00CC0C0B"/>
    <w:rsid w:val="00CC12AC"/>
    <w:rsid w:val="00CC3189"/>
    <w:rsid w:val="00CC3689"/>
    <w:rsid w:val="00CC38E3"/>
    <w:rsid w:val="00CD06D0"/>
    <w:rsid w:val="00CD510E"/>
    <w:rsid w:val="00CD5709"/>
    <w:rsid w:val="00CD6451"/>
    <w:rsid w:val="00CD7C5A"/>
    <w:rsid w:val="00CE1FEC"/>
    <w:rsid w:val="00CE47F2"/>
    <w:rsid w:val="00CE4D0D"/>
    <w:rsid w:val="00CE57B9"/>
    <w:rsid w:val="00CE769A"/>
    <w:rsid w:val="00CF0089"/>
    <w:rsid w:val="00CF0E81"/>
    <w:rsid w:val="00CF1272"/>
    <w:rsid w:val="00CF53C9"/>
    <w:rsid w:val="00CF7093"/>
    <w:rsid w:val="00CF7E47"/>
    <w:rsid w:val="00D11C32"/>
    <w:rsid w:val="00D11CF4"/>
    <w:rsid w:val="00D208B4"/>
    <w:rsid w:val="00D238B5"/>
    <w:rsid w:val="00D240A9"/>
    <w:rsid w:val="00D27074"/>
    <w:rsid w:val="00D27217"/>
    <w:rsid w:val="00D2740E"/>
    <w:rsid w:val="00D30F82"/>
    <w:rsid w:val="00D32281"/>
    <w:rsid w:val="00D37896"/>
    <w:rsid w:val="00D40BC6"/>
    <w:rsid w:val="00D41A8C"/>
    <w:rsid w:val="00D44C46"/>
    <w:rsid w:val="00D505B4"/>
    <w:rsid w:val="00D506D3"/>
    <w:rsid w:val="00D54890"/>
    <w:rsid w:val="00D562EC"/>
    <w:rsid w:val="00D6527D"/>
    <w:rsid w:val="00D66BD5"/>
    <w:rsid w:val="00D71C8D"/>
    <w:rsid w:val="00D720AF"/>
    <w:rsid w:val="00D72B09"/>
    <w:rsid w:val="00D72C39"/>
    <w:rsid w:val="00D732BD"/>
    <w:rsid w:val="00D74C0E"/>
    <w:rsid w:val="00D75DD9"/>
    <w:rsid w:val="00D76048"/>
    <w:rsid w:val="00D835E6"/>
    <w:rsid w:val="00D875B5"/>
    <w:rsid w:val="00D90042"/>
    <w:rsid w:val="00D906B5"/>
    <w:rsid w:val="00D92BDD"/>
    <w:rsid w:val="00D931A7"/>
    <w:rsid w:val="00D93D40"/>
    <w:rsid w:val="00D93EA9"/>
    <w:rsid w:val="00DA04C7"/>
    <w:rsid w:val="00DA0C40"/>
    <w:rsid w:val="00DA2225"/>
    <w:rsid w:val="00DA2437"/>
    <w:rsid w:val="00DA4DF5"/>
    <w:rsid w:val="00DA52F1"/>
    <w:rsid w:val="00DA7ABD"/>
    <w:rsid w:val="00DB1115"/>
    <w:rsid w:val="00DB5789"/>
    <w:rsid w:val="00DB5C62"/>
    <w:rsid w:val="00DB662C"/>
    <w:rsid w:val="00DC2877"/>
    <w:rsid w:val="00DC4123"/>
    <w:rsid w:val="00DC4F1C"/>
    <w:rsid w:val="00DC58AC"/>
    <w:rsid w:val="00DC59A0"/>
    <w:rsid w:val="00DD29B8"/>
    <w:rsid w:val="00DD5ADD"/>
    <w:rsid w:val="00DE6ACC"/>
    <w:rsid w:val="00DE7CE2"/>
    <w:rsid w:val="00DF1E1E"/>
    <w:rsid w:val="00DF48FB"/>
    <w:rsid w:val="00DF513A"/>
    <w:rsid w:val="00DF5D98"/>
    <w:rsid w:val="00DF631F"/>
    <w:rsid w:val="00E001F5"/>
    <w:rsid w:val="00E00578"/>
    <w:rsid w:val="00E013B8"/>
    <w:rsid w:val="00E04AA1"/>
    <w:rsid w:val="00E04C8A"/>
    <w:rsid w:val="00E060EE"/>
    <w:rsid w:val="00E105F4"/>
    <w:rsid w:val="00E1455F"/>
    <w:rsid w:val="00E160FC"/>
    <w:rsid w:val="00E17BDA"/>
    <w:rsid w:val="00E21A95"/>
    <w:rsid w:val="00E21CD4"/>
    <w:rsid w:val="00E3676F"/>
    <w:rsid w:val="00E37AC6"/>
    <w:rsid w:val="00E37B2B"/>
    <w:rsid w:val="00E40038"/>
    <w:rsid w:val="00E420CF"/>
    <w:rsid w:val="00E43174"/>
    <w:rsid w:val="00E44D08"/>
    <w:rsid w:val="00E45701"/>
    <w:rsid w:val="00E45E3F"/>
    <w:rsid w:val="00E463F4"/>
    <w:rsid w:val="00E4793F"/>
    <w:rsid w:val="00E500A1"/>
    <w:rsid w:val="00E50C6F"/>
    <w:rsid w:val="00E55C52"/>
    <w:rsid w:val="00E6013C"/>
    <w:rsid w:val="00E61600"/>
    <w:rsid w:val="00E62801"/>
    <w:rsid w:val="00E63A2E"/>
    <w:rsid w:val="00E63C71"/>
    <w:rsid w:val="00E7017F"/>
    <w:rsid w:val="00E7348B"/>
    <w:rsid w:val="00E741ED"/>
    <w:rsid w:val="00E74E55"/>
    <w:rsid w:val="00E758E8"/>
    <w:rsid w:val="00E76527"/>
    <w:rsid w:val="00E76FE8"/>
    <w:rsid w:val="00E77AAD"/>
    <w:rsid w:val="00E77E3C"/>
    <w:rsid w:val="00E77E84"/>
    <w:rsid w:val="00E81F2B"/>
    <w:rsid w:val="00E82252"/>
    <w:rsid w:val="00E82EDA"/>
    <w:rsid w:val="00E83D81"/>
    <w:rsid w:val="00E90F4D"/>
    <w:rsid w:val="00E913D5"/>
    <w:rsid w:val="00E926C6"/>
    <w:rsid w:val="00E9413D"/>
    <w:rsid w:val="00E9487E"/>
    <w:rsid w:val="00E97ACE"/>
    <w:rsid w:val="00E97C67"/>
    <w:rsid w:val="00EA30FD"/>
    <w:rsid w:val="00EA31E0"/>
    <w:rsid w:val="00EA5CF7"/>
    <w:rsid w:val="00EA6396"/>
    <w:rsid w:val="00EA66DC"/>
    <w:rsid w:val="00EB1D62"/>
    <w:rsid w:val="00EB3462"/>
    <w:rsid w:val="00EB66EF"/>
    <w:rsid w:val="00ED2A3B"/>
    <w:rsid w:val="00ED3D28"/>
    <w:rsid w:val="00ED70EC"/>
    <w:rsid w:val="00EE151E"/>
    <w:rsid w:val="00EF1BCD"/>
    <w:rsid w:val="00EF34F2"/>
    <w:rsid w:val="00EF7688"/>
    <w:rsid w:val="00F06EDF"/>
    <w:rsid w:val="00F12F8A"/>
    <w:rsid w:val="00F14F5E"/>
    <w:rsid w:val="00F2104F"/>
    <w:rsid w:val="00F263D8"/>
    <w:rsid w:val="00F26D36"/>
    <w:rsid w:val="00F2773E"/>
    <w:rsid w:val="00F27E48"/>
    <w:rsid w:val="00F36AAE"/>
    <w:rsid w:val="00F36DCD"/>
    <w:rsid w:val="00F37F32"/>
    <w:rsid w:val="00F41DF9"/>
    <w:rsid w:val="00F479DC"/>
    <w:rsid w:val="00F50581"/>
    <w:rsid w:val="00F5219B"/>
    <w:rsid w:val="00F534E2"/>
    <w:rsid w:val="00F53A26"/>
    <w:rsid w:val="00F557C3"/>
    <w:rsid w:val="00F5799E"/>
    <w:rsid w:val="00F61ECE"/>
    <w:rsid w:val="00F6226C"/>
    <w:rsid w:val="00F62459"/>
    <w:rsid w:val="00F63DBD"/>
    <w:rsid w:val="00F721A4"/>
    <w:rsid w:val="00F81FD0"/>
    <w:rsid w:val="00F82FC8"/>
    <w:rsid w:val="00F84975"/>
    <w:rsid w:val="00F91B5B"/>
    <w:rsid w:val="00F9366A"/>
    <w:rsid w:val="00F97E9E"/>
    <w:rsid w:val="00FA3577"/>
    <w:rsid w:val="00FA4334"/>
    <w:rsid w:val="00FA4639"/>
    <w:rsid w:val="00FA5525"/>
    <w:rsid w:val="00FA6A38"/>
    <w:rsid w:val="00FA7290"/>
    <w:rsid w:val="00FA7987"/>
    <w:rsid w:val="00FA7D67"/>
    <w:rsid w:val="00FB3C80"/>
    <w:rsid w:val="00FB5BC8"/>
    <w:rsid w:val="00FB7682"/>
    <w:rsid w:val="00FC1114"/>
    <w:rsid w:val="00FC355F"/>
    <w:rsid w:val="00FE1032"/>
    <w:rsid w:val="00FE112E"/>
    <w:rsid w:val="00FF017C"/>
    <w:rsid w:val="00FF0ADE"/>
    <w:rsid w:val="00FF44FC"/>
    <w:rsid w:val="00FF4CA5"/>
    <w:rsid w:val="00FF6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EB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373"/>
    <w:pPr>
      <w:tabs>
        <w:tab w:val="center" w:pos="4153"/>
        <w:tab w:val="right" w:pos="8306"/>
      </w:tabs>
    </w:pPr>
  </w:style>
  <w:style w:type="paragraph" w:styleId="Footer">
    <w:name w:val="footer"/>
    <w:basedOn w:val="Normal"/>
    <w:link w:val="FooterChar"/>
    <w:uiPriority w:val="99"/>
    <w:rsid w:val="00873373"/>
    <w:pPr>
      <w:tabs>
        <w:tab w:val="center" w:pos="4153"/>
        <w:tab w:val="right" w:pos="8306"/>
      </w:tabs>
    </w:pPr>
  </w:style>
  <w:style w:type="character" w:styleId="Strong">
    <w:name w:val="Strong"/>
    <w:basedOn w:val="DefaultParagraphFont"/>
    <w:qFormat/>
    <w:rsid w:val="00A27EBF"/>
    <w:rPr>
      <w:b/>
      <w:bCs/>
    </w:rPr>
  </w:style>
  <w:style w:type="paragraph" w:styleId="ListParagraph">
    <w:name w:val="List Paragraph"/>
    <w:basedOn w:val="Normal"/>
    <w:uiPriority w:val="34"/>
    <w:qFormat/>
    <w:rsid w:val="00A27EBF"/>
    <w:pPr>
      <w:ind w:left="720"/>
    </w:pPr>
  </w:style>
  <w:style w:type="character" w:customStyle="1" w:styleId="bold1">
    <w:name w:val="bold1"/>
    <w:rsid w:val="00A27EBF"/>
    <w:rPr>
      <w:b/>
      <w:bCs/>
    </w:rPr>
  </w:style>
  <w:style w:type="paragraph" w:styleId="BalloonText">
    <w:name w:val="Balloon Text"/>
    <w:basedOn w:val="Normal"/>
    <w:link w:val="BalloonTextChar"/>
    <w:rsid w:val="00A27564"/>
    <w:rPr>
      <w:rFonts w:ascii="Tahoma" w:hAnsi="Tahoma" w:cs="Tahoma"/>
      <w:sz w:val="16"/>
      <w:szCs w:val="16"/>
    </w:rPr>
  </w:style>
  <w:style w:type="character" w:customStyle="1" w:styleId="BalloonTextChar">
    <w:name w:val="Balloon Text Char"/>
    <w:basedOn w:val="DefaultParagraphFont"/>
    <w:link w:val="BalloonText"/>
    <w:rsid w:val="00A27564"/>
    <w:rPr>
      <w:rFonts w:ascii="Tahoma" w:hAnsi="Tahoma" w:cs="Tahoma"/>
      <w:sz w:val="16"/>
      <w:szCs w:val="16"/>
      <w:lang w:val="en-GB"/>
    </w:rPr>
  </w:style>
  <w:style w:type="character" w:customStyle="1" w:styleId="FooterChar">
    <w:name w:val="Footer Char"/>
    <w:basedOn w:val="DefaultParagraphFont"/>
    <w:link w:val="Footer"/>
    <w:uiPriority w:val="99"/>
    <w:rsid w:val="00A27564"/>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EB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373"/>
    <w:pPr>
      <w:tabs>
        <w:tab w:val="center" w:pos="4153"/>
        <w:tab w:val="right" w:pos="8306"/>
      </w:tabs>
    </w:pPr>
  </w:style>
  <w:style w:type="paragraph" w:styleId="Footer">
    <w:name w:val="footer"/>
    <w:basedOn w:val="Normal"/>
    <w:link w:val="FooterChar"/>
    <w:uiPriority w:val="99"/>
    <w:rsid w:val="00873373"/>
    <w:pPr>
      <w:tabs>
        <w:tab w:val="center" w:pos="4153"/>
        <w:tab w:val="right" w:pos="8306"/>
      </w:tabs>
    </w:pPr>
  </w:style>
  <w:style w:type="character" w:styleId="Strong">
    <w:name w:val="Strong"/>
    <w:basedOn w:val="DefaultParagraphFont"/>
    <w:qFormat/>
    <w:rsid w:val="00A27EBF"/>
    <w:rPr>
      <w:b/>
      <w:bCs/>
    </w:rPr>
  </w:style>
  <w:style w:type="paragraph" w:styleId="ListParagraph">
    <w:name w:val="List Paragraph"/>
    <w:basedOn w:val="Normal"/>
    <w:uiPriority w:val="34"/>
    <w:qFormat/>
    <w:rsid w:val="00A27EBF"/>
    <w:pPr>
      <w:ind w:left="720"/>
    </w:pPr>
  </w:style>
  <w:style w:type="character" w:customStyle="1" w:styleId="bold1">
    <w:name w:val="bold1"/>
    <w:rsid w:val="00A27EBF"/>
    <w:rPr>
      <w:b/>
      <w:bCs/>
    </w:rPr>
  </w:style>
  <w:style w:type="paragraph" w:styleId="BalloonText">
    <w:name w:val="Balloon Text"/>
    <w:basedOn w:val="Normal"/>
    <w:link w:val="BalloonTextChar"/>
    <w:rsid w:val="00A27564"/>
    <w:rPr>
      <w:rFonts w:ascii="Tahoma" w:hAnsi="Tahoma" w:cs="Tahoma"/>
      <w:sz w:val="16"/>
      <w:szCs w:val="16"/>
    </w:rPr>
  </w:style>
  <w:style w:type="character" w:customStyle="1" w:styleId="BalloonTextChar">
    <w:name w:val="Balloon Text Char"/>
    <w:basedOn w:val="DefaultParagraphFont"/>
    <w:link w:val="BalloonText"/>
    <w:rsid w:val="00A27564"/>
    <w:rPr>
      <w:rFonts w:ascii="Tahoma" w:hAnsi="Tahoma" w:cs="Tahoma"/>
      <w:sz w:val="16"/>
      <w:szCs w:val="16"/>
      <w:lang w:val="en-GB"/>
    </w:rPr>
  </w:style>
  <w:style w:type="character" w:customStyle="1" w:styleId="FooterChar">
    <w:name w:val="Footer Char"/>
    <w:basedOn w:val="DefaultParagraphFont"/>
    <w:link w:val="Footer"/>
    <w:uiPriority w:val="99"/>
    <w:rsid w:val="00A2756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EBA84-8FD3-4784-BFBA-B2C9ABB0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B8620C2E</Template>
  <TotalTime>1</TotalTime>
  <Pages>3</Pages>
  <Words>827</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Jill</dc:creator>
  <cp:lastModifiedBy>GREGORY, Jill</cp:lastModifiedBy>
  <cp:revision>2</cp:revision>
  <cp:lastPrinted>2014-03-27T05:58:00Z</cp:lastPrinted>
  <dcterms:created xsi:type="dcterms:W3CDTF">2015-04-14T01:41:00Z</dcterms:created>
  <dcterms:modified xsi:type="dcterms:W3CDTF">2015-04-14T01:41:00Z</dcterms:modified>
</cp:coreProperties>
</file>